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מרים אילני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CA4AC8" w:rsidRDefault="00DD1B14" w:rsidP="0047397E">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47397E" w:rsidRDefault="007C2453" w:rsidP="007C2453">
            <w:pPr>
              <w:suppressLineNumbers/>
              <w:rPr>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פלוני</w:t>
                </w:r>
              </w:sdtContent>
            </w:sdt>
            <w:r w:rsidR="00B859C5">
              <w:rPr>
                <w:rFonts w:hint="cs"/>
                <w:rtl/>
              </w:rPr>
              <w:t xml:space="preserve"> </w:t>
            </w:r>
          </w:p>
          <w:p w:rsidR="0047397E" w:rsidRPr="0047397E" w:rsidRDefault="0047397E" w:rsidP="007C2453">
            <w:pPr>
              <w:suppressLineNumbers/>
              <w:rPr>
                <w:rFonts w:ascii="Arial" w:hAnsi="Arial"/>
                <w:b/>
                <w:bCs/>
                <w:sz w:val="10"/>
                <w:szCs w:val="10"/>
                <w:rtl/>
              </w:rPr>
            </w:pPr>
            <w:r>
              <w:rPr>
                <w:rFonts w:ascii="Arial" w:hAnsi="Arial" w:hint="cs"/>
                <w:b/>
                <w:bCs/>
                <w:rtl/>
              </w:rPr>
              <w:t xml:space="preserve"> </w:t>
            </w:r>
          </w:p>
          <w:p w:rsidR="0094424E" w:rsidRPr="0047397E" w:rsidRDefault="00B859C5" w:rsidP="007C2453">
            <w:pPr>
              <w:suppressLineNumbers/>
              <w:rPr>
                <w:noProof w:val="0"/>
                <w:sz w:val="26"/>
                <w:szCs w:val="26"/>
              </w:rPr>
            </w:pPr>
            <w:r w:rsidRPr="0047397E">
              <w:rPr>
                <w:rFonts w:ascii="Arial" w:hAnsi="Arial"/>
                <w:noProof w:val="0"/>
                <w:sz w:val="26"/>
                <w:szCs w:val="26"/>
                <w:rtl/>
              </w:rPr>
              <w:t>ע"י ב"כ עוה"ד</w:t>
            </w:r>
            <w:r w:rsidR="0047397E" w:rsidRPr="0047397E">
              <w:rPr>
                <w:rFonts w:hint="cs"/>
                <w:noProof w:val="0"/>
                <w:sz w:val="26"/>
                <w:szCs w:val="26"/>
                <w:rtl/>
              </w:rPr>
              <w:t xml:space="preserve"> ברק קדם ואריאל חיומי</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9E01FA" w:rsidP="0047397E">
            <w:pPr>
              <w:suppressLineNumbers/>
              <w:rPr>
                <w:rFonts w:ascii="Arial" w:hAnsi="Arial"/>
                <w:b/>
                <w:bCs/>
                <w:noProof w:val="0"/>
                <w:sz w:val="26"/>
                <w:szCs w:val="26"/>
              </w:rPr>
            </w:pPr>
            <w:sdt>
              <w:sdtPr>
                <w:rPr>
                  <w:b/>
                  <w:bCs/>
                  <w:rtl/>
                </w:rPr>
                <w:alias w:val="1184"/>
                <w:tag w:val="1184"/>
                <w:id w:val="-340621022"/>
                <w:text w:multiLine="1"/>
              </w:sdtPr>
              <w:sdtEndPr/>
              <w:sdtContent>
                <w:r w:rsidR="00B859C5" w:rsidRPr="0047397E">
                  <w:rPr>
                    <w:rFonts w:ascii="Arial" w:hAnsi="Arial"/>
                    <w:b/>
                    <w:bCs/>
                    <w:noProof w:val="0"/>
                    <w:sz w:val="26"/>
                    <w:szCs w:val="26"/>
                    <w:rtl/>
                  </w:rPr>
                  <w:t>נתבע</w:t>
                </w:r>
                <w:r w:rsidR="0047397E" w:rsidRPr="0047397E">
                  <w:rPr>
                    <w:rFonts w:hint="cs"/>
                    <w:b/>
                    <w:bCs/>
                    <w:rtl/>
                  </w:rPr>
                  <w:t>ת</w:t>
                </w:r>
              </w:sdtContent>
            </w:sdt>
          </w:p>
        </w:tc>
        <w:tc>
          <w:tcPr>
            <w:tcW w:w="5571" w:type="dxa"/>
          </w:tcPr>
          <w:p w:rsidR="0047397E" w:rsidRDefault="007C2453" w:rsidP="007C2453">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הרשות הפלסטינית</w:t>
                </w:r>
              </w:sdtContent>
            </w:sdt>
            <w:r w:rsidR="00B859C5">
              <w:rPr>
                <w:rFonts w:hint="cs"/>
                <w:rtl/>
              </w:rPr>
              <w:t xml:space="preserve"> </w:t>
            </w:r>
          </w:p>
          <w:p w:rsidR="0047397E" w:rsidRPr="0047397E" w:rsidRDefault="0047397E" w:rsidP="007C2453">
            <w:pPr>
              <w:suppressLineNumbers/>
              <w:rPr>
                <w:rFonts w:ascii="Arial" w:hAnsi="Arial"/>
                <w:b/>
                <w:bCs/>
                <w:sz w:val="12"/>
                <w:szCs w:val="12"/>
                <w:rtl/>
              </w:rPr>
            </w:pPr>
          </w:p>
          <w:p w:rsidR="00CF6BB7" w:rsidRPr="009E461A" w:rsidRDefault="0047397E" w:rsidP="007C2453">
            <w:pPr>
              <w:suppressLineNumbers/>
              <w:rPr>
                <w:rtl/>
              </w:rPr>
            </w:pPr>
            <w:r>
              <w:rPr>
                <w:rFonts w:ascii="Arial" w:hAnsi="Arial" w:hint="cs"/>
                <w:b/>
                <w:bCs/>
                <w:rtl/>
              </w:rPr>
              <w:t xml:space="preserve"> </w:t>
            </w:r>
            <w:r w:rsidR="00B859C5" w:rsidRPr="0047397E">
              <w:rPr>
                <w:rFonts w:ascii="Arial" w:hAnsi="Arial"/>
                <w:noProof w:val="0"/>
                <w:sz w:val="26"/>
                <w:szCs w:val="26"/>
                <w:rtl/>
              </w:rPr>
              <w:t>ע"י ב"כ עוה"ד</w:t>
            </w:r>
            <w:r w:rsidRPr="0047397E">
              <w:rPr>
                <w:rFonts w:hint="cs"/>
                <w:rtl/>
              </w:rPr>
              <w:t xml:space="preserve"> נגה</w:t>
            </w:r>
            <w:r>
              <w:rPr>
                <w:rFonts w:hint="cs"/>
                <w:rtl/>
              </w:rPr>
              <w:t xml:space="preserve"> מושקוביץ בן שבת</w:t>
            </w:r>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CA4AC8" w:rsidRDefault="00CA4AC8">
            <w:pPr>
              <w:suppressLineNumbers/>
              <w:rPr>
                <w:rFonts w:ascii="Arial" w:hAnsi="Arial"/>
                <w:b/>
                <w:bCs/>
                <w:noProof w:val="0"/>
                <w:sz w:val="26"/>
                <w:szCs w:val="26"/>
                <w:rtl/>
              </w:rPr>
            </w:pPr>
          </w:p>
        </w:tc>
      </w:tr>
    </w:tbl>
    <w:p w:rsidR="0094424E" w:rsidRDefault="0094424E" w:rsidP="00D44968">
      <w:pPr>
        <w:suppressLineNumbers/>
        <w:rPr>
          <w:rtl/>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47397E" w:rsidRDefault="0047397E" w:rsidP="0047397E">
      <w:pPr>
        <w:pStyle w:val="Ruller41"/>
        <w:rPr>
          <w:rtl/>
        </w:rPr>
      </w:pPr>
      <w:bookmarkStart w:id="1" w:name="NGCSBookmark"/>
      <w:bookmarkEnd w:id="1"/>
    </w:p>
    <w:p w:rsidR="0047397E" w:rsidRDefault="0047397E" w:rsidP="0047397E">
      <w:pPr>
        <w:pStyle w:val="Ruller41"/>
        <w:rPr>
          <w:rtl/>
        </w:rPr>
      </w:pPr>
      <w:r>
        <w:rPr>
          <w:rFonts w:hint="cs"/>
          <w:rtl/>
        </w:rPr>
        <w:tab/>
        <w:t>תביעה לפיצוי בגין נזקי גוף שנגרמו לטענת התובע, בעת שנכלא ועונה על ידי הרשות הפלסטינית (להלן: ה</w:t>
      </w:r>
      <w:r w:rsidRPr="009C68CC">
        <w:rPr>
          <w:rFonts w:ascii="Miriam" w:hAnsi="Miriam" w:cs="Miriam"/>
          <w:sz w:val="24"/>
          <w:szCs w:val="24"/>
          <w:rtl/>
        </w:rPr>
        <w:t>רש"פ</w:t>
      </w:r>
      <w:r>
        <w:rPr>
          <w:rFonts w:hint="cs"/>
          <w:rtl/>
        </w:rPr>
        <w:t>) עקב חשד כי סייע למדינת ישראל בסיכול פעולות טרור.</w:t>
      </w:r>
    </w:p>
    <w:p w:rsidR="0047397E" w:rsidRDefault="0047397E" w:rsidP="0047397E">
      <w:pPr>
        <w:pStyle w:val="Ruller41"/>
        <w:rPr>
          <w:rtl/>
        </w:rPr>
      </w:pPr>
    </w:p>
    <w:p w:rsidR="0047397E" w:rsidRDefault="0047397E" w:rsidP="0047397E">
      <w:pPr>
        <w:pStyle w:val="Ruller41"/>
        <w:rPr>
          <w:rtl/>
        </w:rPr>
      </w:pPr>
      <w:r>
        <w:rPr>
          <w:rFonts w:hint="cs"/>
          <w:rtl/>
        </w:rPr>
        <w:tab/>
        <w:t xml:space="preserve">התובע, יליד 1983, נעצר ביום 20.4.2008 על ידי הרש"פ ושוחרר על ידה לאחר 7 שנים, ביום 20.4.2015. התובע טוען שהוא נכלא על ידי הרש"פ ללא סמכות וכן שעונה במהלך כליאתו ונגרמו לו נזקי גוף. </w:t>
      </w:r>
    </w:p>
    <w:p w:rsidR="0047397E" w:rsidRDefault="0047397E" w:rsidP="0047397E">
      <w:pPr>
        <w:pStyle w:val="Ruller41"/>
        <w:rPr>
          <w:rtl/>
        </w:rPr>
      </w:pPr>
    </w:p>
    <w:p w:rsidR="0047397E" w:rsidRDefault="0047397E" w:rsidP="0047397E">
      <w:pPr>
        <w:pStyle w:val="Ruller41"/>
        <w:rPr>
          <w:rtl/>
        </w:rPr>
      </w:pPr>
      <w:r>
        <w:rPr>
          <w:rtl/>
        </w:rPr>
        <w:tab/>
      </w:r>
      <w:r>
        <w:rPr>
          <w:rFonts w:hint="cs"/>
          <w:rtl/>
        </w:rPr>
        <w:t xml:space="preserve">הצדדים חלוקים הן בשאלת הסמכות הן בשאלת החבות, והן בשאלת הנזק. </w:t>
      </w:r>
    </w:p>
    <w:p w:rsidR="0047397E" w:rsidRDefault="0047397E" w:rsidP="0047397E">
      <w:pPr>
        <w:pStyle w:val="Ruller41"/>
        <w:rPr>
          <w:rtl/>
        </w:rPr>
      </w:pPr>
    </w:p>
    <w:p w:rsidR="0047397E" w:rsidRPr="009C68CC" w:rsidRDefault="0047397E" w:rsidP="0047397E">
      <w:pPr>
        <w:pStyle w:val="Ruller41"/>
        <w:ind w:hanging="57"/>
        <w:rPr>
          <w:b/>
          <w:bCs/>
          <w:u w:val="single"/>
          <w:rtl/>
        </w:rPr>
      </w:pPr>
      <w:r w:rsidRPr="009C68CC">
        <w:rPr>
          <w:rFonts w:hint="cs"/>
          <w:b/>
          <w:bCs/>
          <w:u w:val="single"/>
          <w:rtl/>
        </w:rPr>
        <w:t xml:space="preserve">שאלת הסמכות </w:t>
      </w:r>
    </w:p>
    <w:p w:rsidR="0047397E" w:rsidRDefault="0047397E" w:rsidP="0047397E">
      <w:pPr>
        <w:pStyle w:val="Ruller41"/>
        <w:rPr>
          <w:rtl/>
        </w:rPr>
      </w:pPr>
    </w:p>
    <w:p w:rsidR="0047397E" w:rsidRDefault="0047397E" w:rsidP="0047397E">
      <w:pPr>
        <w:pStyle w:val="Ruller41"/>
      </w:pPr>
      <w:r w:rsidRPr="00B6276A">
        <w:rPr>
          <w:rFonts w:hint="cs"/>
          <w:rtl/>
        </w:rPr>
        <w:t>1.</w:t>
      </w:r>
      <w:r>
        <w:rPr>
          <w:rtl/>
        </w:rPr>
        <w:tab/>
      </w:r>
      <w:r>
        <w:rPr>
          <w:rFonts w:hint="cs"/>
          <w:rtl/>
        </w:rPr>
        <w:t xml:space="preserve">הרש"פ טוענת שאין לבית משפט ישראלי סמכות לדון בתובענה, היות ושני בעלי הדין, התובע והרש"פ, אינם ישראלים והמעשה הנטען נעשה מחוץ לישראל, וכי מכל מקום אין זה הפורום הנאות לדון בתובענה. כן טוענת הרש"פ שהעניין אינו שפיט משום שהתובענה תוקפת החלטה מנהלית - שלטונית - ביצועית - שיפוטית של הרש"פ, בהתאם </w:t>
      </w:r>
      <w:r>
        <w:rPr>
          <w:rFonts w:hint="cs"/>
          <w:rtl/>
        </w:rPr>
        <w:lastRenderedPageBreak/>
        <w:t>לדינים החלים ברשות הפלסטינית ואל לו לבית משפט ישראלי לבחון החלטה של ריבון זר על פי הדין הישראלי ועל פי נורמות התנהגות ישראליות. לטענת הרש"פ היא הוקמה בהסכמים מדיניים שנחתמו בין מדינת ישראל ובין אש"ף והיא מהווה ריבון שחלות עליה החובות והזכויות על פי הסכמים מדיניים והמשפט הבינלאומי, ומתוקף מעמדה זה, מוקנות לפעולותיה חסינות מפני שיפוט מדינה זרה. כן מוקנית לה לטענתה סמכות מכות הסכמים אלו לעצור את התובעים המחזיקים תעודת זהות פלסטינית דוגמת התובע, בגין עבירות של ריגול ובגידה כי שאכן נעשה.</w:t>
      </w:r>
    </w:p>
    <w:p w:rsidR="0047397E" w:rsidRPr="00FA0888" w:rsidRDefault="0047397E" w:rsidP="0047397E">
      <w:pPr>
        <w:pStyle w:val="Ruller41"/>
        <w:rPr>
          <w:sz w:val="14"/>
          <w:szCs w:val="20"/>
          <w:rtl/>
        </w:rPr>
      </w:pPr>
    </w:p>
    <w:p w:rsidR="0047397E" w:rsidRDefault="0047397E" w:rsidP="0047397E">
      <w:pPr>
        <w:pStyle w:val="Ruller41"/>
        <w:rPr>
          <w:rtl/>
        </w:rPr>
      </w:pPr>
      <w:r>
        <w:rPr>
          <w:rFonts w:hint="cs"/>
          <w:rtl/>
        </w:rPr>
        <w:t xml:space="preserve">דין הטענות בעניין הסמכות להידחות. </w:t>
      </w:r>
    </w:p>
    <w:p w:rsidR="0047397E" w:rsidRDefault="0047397E" w:rsidP="0047397E">
      <w:pPr>
        <w:pStyle w:val="Ruller41"/>
        <w:rPr>
          <w:rtl/>
        </w:rPr>
      </w:pPr>
    </w:p>
    <w:p w:rsidR="0047397E" w:rsidRDefault="0047397E" w:rsidP="0047397E">
      <w:pPr>
        <w:pStyle w:val="Ruller41"/>
        <w:rPr>
          <w:rtl/>
        </w:rPr>
      </w:pPr>
      <w:r>
        <w:rPr>
          <w:rFonts w:hint="cs"/>
          <w:rtl/>
        </w:rPr>
        <w:t>2.</w:t>
      </w:r>
      <w:r>
        <w:rPr>
          <w:rFonts w:hint="cs"/>
          <w:rtl/>
        </w:rPr>
        <w:tab/>
        <w:t xml:space="preserve">בע"א 5105/17, 6840/18, 6966/18 </w:t>
      </w:r>
      <w:r w:rsidRPr="00350C3A">
        <w:rPr>
          <w:rFonts w:ascii="Miriam" w:hAnsi="Miriam" w:cs="Miriam"/>
          <w:sz w:val="24"/>
          <w:szCs w:val="24"/>
          <w:rtl/>
        </w:rPr>
        <w:t>פלונים נ' הרשות הפלסטינית</w:t>
      </w:r>
      <w:r>
        <w:rPr>
          <w:rFonts w:hint="cs"/>
          <w:rtl/>
        </w:rPr>
        <w:t xml:space="preserve"> (11.5.2021) (להלן: עניין </w:t>
      </w:r>
      <w:r w:rsidRPr="00350C3A">
        <w:rPr>
          <w:rFonts w:ascii="Miriam" w:hAnsi="Miriam" w:cs="Miriam"/>
          <w:sz w:val="24"/>
          <w:szCs w:val="24"/>
          <w:rtl/>
        </w:rPr>
        <w:t>פלונים</w:t>
      </w:r>
      <w:r>
        <w:rPr>
          <w:rFonts w:hint="cs"/>
          <w:rtl/>
        </w:rPr>
        <w:t xml:space="preserve">), נדונו ערעורים על פסק דינו החלקי של כב' סגן הנשיא </w:t>
      </w:r>
      <w:r w:rsidRPr="00350C3A">
        <w:rPr>
          <w:rFonts w:ascii="Miriam" w:hAnsi="Miriam" w:cs="Miriam"/>
          <w:sz w:val="24"/>
          <w:szCs w:val="24"/>
          <w:rtl/>
        </w:rPr>
        <w:t>מ' דרורי</w:t>
      </w:r>
      <w:r>
        <w:rPr>
          <w:rFonts w:hint="cs"/>
          <w:rtl/>
        </w:rPr>
        <w:t xml:space="preserve"> מיום 28.6.2018  (להלן: </w:t>
      </w:r>
      <w:r w:rsidRPr="00350C3A">
        <w:rPr>
          <w:rFonts w:ascii="Miriam" w:hAnsi="Miriam" w:cs="Miriam"/>
          <w:sz w:val="24"/>
          <w:szCs w:val="24"/>
          <w:rtl/>
        </w:rPr>
        <w:t>פסק הדין ה</w:t>
      </w:r>
      <w:r>
        <w:rPr>
          <w:rFonts w:ascii="Miriam" w:hAnsi="Miriam" w:cs="Miriam" w:hint="cs"/>
          <w:sz w:val="24"/>
          <w:szCs w:val="24"/>
          <w:rtl/>
        </w:rPr>
        <w:t>חלקי</w:t>
      </w:r>
      <w:r>
        <w:rPr>
          <w:rFonts w:hint="cs"/>
          <w:rtl/>
        </w:rPr>
        <w:t xml:space="preserve">), בקשר לחמש תביעות שהוגשו במהלך השנים 2003, 2004, 2005, 2008 ו - 2009 נגד הרש"פ, על ידי 60 תובעים שטענו כי נחטפו, נכלאו ועונו על ידי הרש"פ עקב חשד כי סייעו למדינת ישראל בסיכול פעולות טרור.  פסק הדין החלקי ניתן בהמשך להחלטה שנתנה על ידי כב' השופט </w:t>
      </w:r>
      <w:r w:rsidRPr="00FA0888">
        <w:rPr>
          <w:rFonts w:ascii="Miriam" w:hAnsi="Miriam" w:cs="Miriam"/>
          <w:sz w:val="24"/>
          <w:szCs w:val="24"/>
          <w:rtl/>
        </w:rPr>
        <w:t>דרורי</w:t>
      </w:r>
      <w:r>
        <w:rPr>
          <w:rFonts w:hint="cs"/>
          <w:rtl/>
        </w:rPr>
        <w:t xml:space="preserve"> ביום 24.4.2017 בשאלת האחריות, ובמסגרתה נמצאה הרש"פ אחראית ביחס ל- 52 מתוך 60 התובעים, מן הטעם שמעצרם על ידי הרש"פ היה שלא כדין (להלן: </w:t>
      </w:r>
      <w:r w:rsidRPr="00E05459">
        <w:rPr>
          <w:rFonts w:ascii="Miriam" w:hAnsi="Miriam" w:cs="Miriam"/>
          <w:sz w:val="24"/>
          <w:szCs w:val="24"/>
          <w:rtl/>
        </w:rPr>
        <w:t>החלטת החבות</w:t>
      </w:r>
      <w:r>
        <w:rPr>
          <w:rFonts w:hint="cs"/>
          <w:rtl/>
        </w:rPr>
        <w:t xml:space="preserve">). </w:t>
      </w:r>
    </w:p>
    <w:p w:rsidR="0047397E" w:rsidRDefault="0047397E" w:rsidP="0047397E">
      <w:pPr>
        <w:pStyle w:val="Ruller41"/>
        <w:rPr>
          <w:rtl/>
        </w:rPr>
      </w:pPr>
    </w:p>
    <w:p w:rsidR="0047397E" w:rsidRDefault="0047397E" w:rsidP="0047397E">
      <w:pPr>
        <w:pStyle w:val="Ruller41"/>
        <w:rPr>
          <w:rtl/>
        </w:rPr>
      </w:pPr>
      <w:r>
        <w:rPr>
          <w:rFonts w:hint="cs"/>
          <w:rtl/>
        </w:rPr>
        <w:t>3.</w:t>
      </w:r>
      <w:r>
        <w:rPr>
          <w:rFonts w:hint="cs"/>
          <w:rtl/>
        </w:rPr>
        <w:tab/>
        <w:t xml:space="preserve">בית המשפט העליון (כב' השופט </w:t>
      </w:r>
      <w:r w:rsidRPr="00F07BF3">
        <w:rPr>
          <w:rFonts w:ascii="Miriam" w:hAnsi="Miriam" w:cs="Miriam"/>
          <w:sz w:val="24"/>
          <w:szCs w:val="24"/>
          <w:rtl/>
        </w:rPr>
        <w:t>י' עמית</w:t>
      </w:r>
      <w:r>
        <w:rPr>
          <w:rFonts w:hint="cs"/>
          <w:rtl/>
        </w:rPr>
        <w:t xml:space="preserve">) קבע בעניין </w:t>
      </w:r>
      <w:r w:rsidRPr="009C68CC">
        <w:rPr>
          <w:rFonts w:ascii="Miriam" w:hAnsi="Miriam" w:cs="Miriam"/>
          <w:sz w:val="24"/>
          <w:szCs w:val="24"/>
          <w:rtl/>
        </w:rPr>
        <w:t>פלונים</w:t>
      </w:r>
      <w:r>
        <w:rPr>
          <w:rFonts w:ascii="Miriam" w:hAnsi="Miriam" w:cs="Miriam" w:hint="cs"/>
          <w:sz w:val="24"/>
          <w:szCs w:val="24"/>
          <w:rtl/>
        </w:rPr>
        <w:t xml:space="preserve">, </w:t>
      </w:r>
      <w:r>
        <w:rPr>
          <w:rFonts w:hint="cs"/>
          <w:rtl/>
        </w:rPr>
        <w:t>כי בית המשפט בישראל הוא הפורום הנאות לדון בתובענות של מי שטוען שנעצר משום שסייע לישראל בסיכול טרור. צויין שכשמדובר במי שטוען שנכלא ועונה בשל חשד לשיתוף פעולה עם ישראל הרי שהזיקה העניינית היא לישראל ומקום בו על חלקם של התובעים חל דין מוות על ידי הרש"פ, שעדיין תלוי ועומד "</w:t>
      </w:r>
      <w:r w:rsidRPr="009C68CC">
        <w:rPr>
          <w:rFonts w:ascii="Miriam" w:hAnsi="Miriam" w:cs="Miriam"/>
          <w:sz w:val="24"/>
          <w:szCs w:val="24"/>
          <w:rtl/>
        </w:rPr>
        <w:t>הרי שבהיבט המעשי והחוקי קשה להלום כי מתאפשר להם לקבל את יומם בבתי המשפט בשטחי הרש"פ</w:t>
      </w:r>
      <w:r>
        <w:rPr>
          <w:rFonts w:hint="cs"/>
          <w:rtl/>
        </w:rPr>
        <w:t xml:space="preserve">" (עניין </w:t>
      </w:r>
      <w:r w:rsidRPr="009C68CC">
        <w:rPr>
          <w:rFonts w:ascii="Miriam" w:hAnsi="Miriam" w:cs="Miriam"/>
          <w:sz w:val="24"/>
          <w:szCs w:val="24"/>
          <w:rtl/>
        </w:rPr>
        <w:t>פלוני</w:t>
      </w:r>
      <w:r>
        <w:rPr>
          <w:rFonts w:hint="cs"/>
          <w:rtl/>
        </w:rPr>
        <w:t>ם, פסקה 8).</w:t>
      </w:r>
    </w:p>
    <w:p w:rsidR="0047397E" w:rsidRDefault="0047397E" w:rsidP="0047397E">
      <w:pPr>
        <w:pStyle w:val="Ruller41"/>
        <w:rPr>
          <w:rtl/>
        </w:rPr>
      </w:pPr>
    </w:p>
    <w:p w:rsidR="0047397E" w:rsidRDefault="0047397E" w:rsidP="0047397E">
      <w:pPr>
        <w:pStyle w:val="Ruller41"/>
        <w:rPr>
          <w:rtl/>
        </w:rPr>
      </w:pPr>
      <w:r>
        <w:rPr>
          <w:rFonts w:hint="cs"/>
          <w:rtl/>
        </w:rPr>
        <w:t>4.</w:t>
      </w:r>
      <w:r>
        <w:rPr>
          <w:rFonts w:hint="cs"/>
          <w:rtl/>
        </w:rPr>
        <w:tab/>
        <w:t xml:space="preserve">בכל הנוגע לחסינות והשפיטות, צויין בעניין </w:t>
      </w:r>
      <w:r w:rsidRPr="009C68CC">
        <w:rPr>
          <w:rFonts w:ascii="Miriam" w:hAnsi="Miriam" w:cs="Miriam"/>
          <w:sz w:val="24"/>
          <w:szCs w:val="24"/>
          <w:rtl/>
        </w:rPr>
        <w:t>פלונים</w:t>
      </w:r>
      <w:r>
        <w:rPr>
          <w:rFonts w:ascii="Miriam" w:hAnsi="Miriam" w:cs="Miriam" w:hint="cs"/>
          <w:sz w:val="24"/>
          <w:szCs w:val="24"/>
          <w:rtl/>
        </w:rPr>
        <w:t xml:space="preserve">, </w:t>
      </w:r>
      <w:r>
        <w:rPr>
          <w:rFonts w:hint="cs"/>
          <w:rtl/>
        </w:rPr>
        <w:t xml:space="preserve">כי עמדת המדינה כפי שהובעה על ידי היועץ המשפטי לממשלה היא שהרש"פ אינה עונה לקריטריונים </w:t>
      </w:r>
      <w:r>
        <w:rPr>
          <w:rFonts w:hint="cs"/>
          <w:rtl/>
        </w:rPr>
        <w:lastRenderedPageBreak/>
        <w:t xml:space="preserve">המבססים קיומה של מדינה לפי המשפט הבינלאומי וכי ההכרעה בשאלת חסינות הרש"פ נעשית בכל מקרה ומקרה בהתאם לעמדת ממשלת ישראל המוגשת באמצעות תעודת שר החוץ. תעודת שר החוץ הוגשה במצורף לעמדת היועץ המשפטי לממשלה שהוגשה לבית המשפט העליון ביום 20.1.2021 במהלך הדיון בעניין </w:t>
      </w:r>
      <w:r w:rsidRPr="00FA0888">
        <w:rPr>
          <w:rFonts w:ascii="Miriam" w:hAnsi="Miriam" w:cs="Miriam"/>
          <w:sz w:val="24"/>
          <w:szCs w:val="24"/>
          <w:rtl/>
        </w:rPr>
        <w:t>פלונים</w:t>
      </w:r>
      <w:r>
        <w:rPr>
          <w:rFonts w:hint="cs"/>
          <w:rtl/>
        </w:rPr>
        <w:t xml:space="preserve">. לאור האמור, נדחו טענות הרש"פ  להעדר שפיטות או לקיומה של חסינות (עניין </w:t>
      </w:r>
      <w:r w:rsidRPr="00CC2738">
        <w:rPr>
          <w:rFonts w:ascii="Miriam" w:hAnsi="Miriam" w:cs="Miriam"/>
          <w:sz w:val="24"/>
          <w:szCs w:val="24"/>
          <w:rtl/>
        </w:rPr>
        <w:t>פלונים</w:t>
      </w:r>
      <w:r>
        <w:rPr>
          <w:rFonts w:hint="cs"/>
          <w:rtl/>
        </w:rPr>
        <w:t xml:space="preserve">, פסקה 10). </w:t>
      </w:r>
    </w:p>
    <w:p w:rsidR="0047397E" w:rsidRDefault="0047397E" w:rsidP="0047397E">
      <w:pPr>
        <w:pStyle w:val="Ruller41"/>
        <w:rPr>
          <w:rtl/>
        </w:rPr>
      </w:pPr>
    </w:p>
    <w:p w:rsidR="0047397E" w:rsidRDefault="0047397E" w:rsidP="0047397E">
      <w:pPr>
        <w:pStyle w:val="Ruller41"/>
        <w:rPr>
          <w:rFonts w:ascii="Century" w:hAnsi="Century"/>
        </w:rPr>
      </w:pPr>
      <w:r>
        <w:rPr>
          <w:rFonts w:hint="cs"/>
          <w:rtl/>
        </w:rPr>
        <w:t>5.</w:t>
      </w:r>
      <w:r>
        <w:rPr>
          <w:rFonts w:hint="cs"/>
          <w:rtl/>
        </w:rPr>
        <w:tab/>
        <w:t>אשר לסמכות של הרש"פ לכלוא את התובעים בשל "בגידתם" ברש"פ, צויין כי "</w:t>
      </w:r>
      <w:r w:rsidRPr="00484DD3">
        <w:rPr>
          <w:rFonts w:ascii="Miriam" w:hAnsi="Miriam" w:cs="Miriam"/>
          <w:sz w:val="24"/>
          <w:szCs w:val="24"/>
          <w:rtl/>
        </w:rPr>
        <w:t>בכל הנוגע למשיבים שהיו ישראלים בעת מעצרם או שנעצרו בשטח בריבונות ישראלית (כמו מזרח ירושלים) או שנעצרו בשטח</w:t>
      </w:r>
      <w:r w:rsidRPr="00484DD3">
        <w:rPr>
          <w:rFonts w:ascii="Miriam" w:hAnsi="Miriam" w:cs="Miriam"/>
          <w:sz w:val="24"/>
          <w:szCs w:val="24"/>
        </w:rPr>
        <w:t xml:space="preserve">C </w:t>
      </w:r>
      <w:r w:rsidRPr="00484DD3">
        <w:rPr>
          <w:rFonts w:ascii="Miriam" w:hAnsi="Miriam" w:cs="Miriam"/>
          <w:sz w:val="24"/>
          <w:szCs w:val="24"/>
          <w:rtl/>
        </w:rPr>
        <w:t>, ברי כי אין לרש"פ סמכות כליאה ומעצר לגביהם</w:t>
      </w:r>
      <w:r>
        <w:rPr>
          <w:rFonts w:hint="cs"/>
          <w:rtl/>
        </w:rPr>
        <w:t xml:space="preserve">" (שם, פסקה 13). בכל הנוגע למשיבים שאינם אזרחים ישראלים, הפנה בית המשפט העליון להסכם הביניים הישראלי - פלסטיני בדבר הגדה המערבית ורצועת עזה (להלן: </w:t>
      </w:r>
      <w:r w:rsidRPr="006D01ED">
        <w:rPr>
          <w:rFonts w:ascii="Miriam" w:hAnsi="Miriam" w:cs="Miriam"/>
          <w:sz w:val="24"/>
          <w:szCs w:val="24"/>
          <w:rtl/>
        </w:rPr>
        <w:t>הסכם הביניים)</w:t>
      </w:r>
      <w:r>
        <w:rPr>
          <w:rFonts w:hint="cs"/>
          <w:rtl/>
        </w:rPr>
        <w:t xml:space="preserve">, שיושם במשפט הפנימי באזור יהודה ושומרון, על ידי מפקד האזור שהוציא צו מיוחד ליישום ההסכם: מנשר בדבר יישום הסכם הביניים (יהודה והשומרון), התשנ"ו - 1995 (להלן: </w:t>
      </w:r>
      <w:r w:rsidRPr="00F07BF3">
        <w:rPr>
          <w:rFonts w:ascii="Miriam" w:hAnsi="Miriam" w:cs="Miriam"/>
          <w:sz w:val="24"/>
          <w:szCs w:val="24"/>
          <w:rtl/>
        </w:rPr>
        <w:t>המנשר</w:t>
      </w:r>
      <w:r>
        <w:rPr>
          <w:rFonts w:hint="cs"/>
          <w:rtl/>
        </w:rPr>
        <w:t>). סעיף 6(א)(4) למנשר קובע כי המפקד הצבאי יוסיף להחזיק ב"</w:t>
      </w:r>
      <w:r w:rsidRPr="00F07BF3">
        <w:rPr>
          <w:rFonts w:ascii="Miriam" w:hAnsi="Miriam" w:cs="Miriam"/>
          <w:sz w:val="24"/>
          <w:szCs w:val="24"/>
          <w:rtl/>
        </w:rPr>
        <w:t>כל עניין הנוגע לביטחון החוץ של האזור</w:t>
      </w:r>
      <w:r>
        <w:rPr>
          <w:rFonts w:hint="cs"/>
          <w:rtl/>
        </w:rPr>
        <w:t>..". סעיף 6(ב)  למנשר קובע כי "</w:t>
      </w:r>
      <w:r w:rsidRPr="00F07BF3">
        <w:rPr>
          <w:rFonts w:ascii="Miriam" w:hAnsi="Miriam" w:cs="Miriam"/>
          <w:sz w:val="24"/>
          <w:szCs w:val="24"/>
          <w:rtl/>
        </w:rPr>
        <w:t>קביעת מפקד כוחות צה"ל באזור כי כוחות ותחומי אחריות מוסיפים להיות בידו תהיה מכרעת לעניין זה</w:t>
      </w:r>
      <w:r>
        <w:rPr>
          <w:rFonts w:hint="cs"/>
          <w:rtl/>
        </w:rPr>
        <w:t>". בהמשך לכך צויין שבהתאם להסכם הביניים "</w:t>
      </w:r>
      <w:r w:rsidRPr="00F07BF3">
        <w:rPr>
          <w:rFonts w:ascii="Miriam" w:hAnsi="Miriam" w:cs="Miriam"/>
          <w:sz w:val="24"/>
          <w:szCs w:val="24"/>
          <w:rtl/>
        </w:rPr>
        <w:t xml:space="preserve">מדינת ישראל, באמצעות מפקד האזור, ממשיכה להיות הריבון למעשה ובעל הסמכויות והאחריות ביהודה ושומרון, למעט אותן סמכויות ותחומי אחריות שהועברו </w:t>
      </w:r>
      <w:r w:rsidRPr="00F07BF3">
        <w:rPr>
          <w:rFonts w:ascii="Miriam" w:hAnsi="Miriam" w:cs="Miriam"/>
          <w:b/>
          <w:bCs/>
          <w:sz w:val="24"/>
          <w:szCs w:val="24"/>
          <w:u w:val="single"/>
          <w:rtl/>
        </w:rPr>
        <w:t xml:space="preserve">במפורש </w:t>
      </w:r>
      <w:r w:rsidRPr="00F07BF3">
        <w:rPr>
          <w:rFonts w:ascii="Miriam" w:hAnsi="Miriam" w:cs="Miriam"/>
          <w:sz w:val="24"/>
          <w:szCs w:val="24"/>
          <w:rtl/>
        </w:rPr>
        <w:t>לידי הרש"פ</w:t>
      </w:r>
      <w:r>
        <w:rPr>
          <w:rFonts w:hint="cs"/>
          <w:rtl/>
        </w:rPr>
        <w:t>" [ההדגשה במקור - מ.א] (שם, פסקה 11) וכי על פי צווי המפקד הצבאי "</w:t>
      </w:r>
      <w:r w:rsidRPr="00E5484D">
        <w:rPr>
          <w:rFonts w:ascii="Miriam" w:hAnsi="Miriam" w:cs="Miriam"/>
          <w:sz w:val="24"/>
          <w:szCs w:val="24"/>
          <w:rtl/>
        </w:rPr>
        <w:t>ברי כי מדינת ישראל אינה בגדר אוייב, נהפוך הוא, אוייב הוא מי שמבצע עבירה המופנית כנגד ישראל, שמטרתה לפגוע בביטחון הציבור, בכוחות הביטחון או בסדר הציבורי בישראל או באזור</w:t>
      </w:r>
      <w:r>
        <w:rPr>
          <w:rFonts w:hint="cs"/>
          <w:rtl/>
        </w:rPr>
        <w:t>" וכי "</w:t>
      </w:r>
      <w:r w:rsidRPr="00F07BF3">
        <w:rPr>
          <w:rFonts w:ascii="Miriam" w:hAnsi="Miriam" w:cs="Miriam"/>
          <w:sz w:val="24"/>
          <w:szCs w:val="24"/>
          <w:rtl/>
        </w:rPr>
        <w:t>הכרה בכך ששיתוף פעולה עם המפקד הצבאי מאפשר לרש"פ לפעול בדרך של כליאה והעמדה לדין, משמעה כי הלכה למעשה אין למפקד הצבאי סמכות ב</w:t>
      </w:r>
      <w:r>
        <w:rPr>
          <w:rFonts w:ascii="Miriam" w:hAnsi="Miriam" w:cs="Miriam" w:hint="cs"/>
          <w:sz w:val="24"/>
          <w:szCs w:val="24"/>
          <w:rtl/>
        </w:rPr>
        <w:t>י</w:t>
      </w:r>
      <w:r w:rsidRPr="00F07BF3">
        <w:rPr>
          <w:rFonts w:ascii="Miriam" w:hAnsi="Miriam" w:cs="Miriam"/>
          <w:sz w:val="24"/>
          <w:szCs w:val="24"/>
          <w:rtl/>
        </w:rPr>
        <w:t>טחונית בשטח וזאת בניגוד להסכמי הביניים. הטענה לפיה דין האזור מעניק לרש"פ סמכות לכלוא ולענות את המשיבים בשל שיתוף פעולה וסיוע "לאויב הציוני" אינה מתיישבת עם תכליתם ולשונם של הסכמי הביניים, ולתכלית שעומדת בבסיס התחייבותה של הרש"פ לעצור ולהעמיד</w:t>
      </w:r>
      <w:r>
        <w:rPr>
          <w:rFonts w:ascii="Miriam" w:hAnsi="Miriam" w:cs="Miriam" w:hint="cs"/>
          <w:sz w:val="24"/>
          <w:szCs w:val="24"/>
          <w:rtl/>
        </w:rPr>
        <w:t xml:space="preserve"> </w:t>
      </w:r>
      <w:r w:rsidRPr="00F07BF3">
        <w:rPr>
          <w:rFonts w:ascii="Miriam" w:hAnsi="Miriam" w:cs="Miriam"/>
          <w:sz w:val="24"/>
          <w:szCs w:val="24"/>
          <w:rtl/>
        </w:rPr>
        <w:t>לדין אנשים החשודים בביצוע מעשי אלימות וטרור</w:t>
      </w:r>
      <w:r>
        <w:rPr>
          <w:rFonts w:ascii="Miriam" w:hAnsi="Miriam" w:cs="Miriam" w:hint="cs"/>
          <w:sz w:val="24"/>
          <w:szCs w:val="24"/>
          <w:rtl/>
        </w:rPr>
        <w:t>"</w:t>
      </w:r>
      <w:r>
        <w:rPr>
          <w:rFonts w:hint="cs"/>
          <w:rtl/>
        </w:rPr>
        <w:t xml:space="preserve"> (שם, פסקה 14). עוד צויין כי:</w:t>
      </w:r>
    </w:p>
    <w:p w:rsidR="0047397E" w:rsidRPr="00FA0888" w:rsidRDefault="0047397E" w:rsidP="0047397E">
      <w:pPr>
        <w:pStyle w:val="Ruller41"/>
        <w:spacing w:line="276" w:lineRule="auto"/>
        <w:rPr>
          <w:rFonts w:ascii="Century" w:hAnsi="Century"/>
          <w:sz w:val="8"/>
          <w:szCs w:val="14"/>
          <w:rtl/>
        </w:rPr>
      </w:pPr>
    </w:p>
    <w:p w:rsidR="0047397E" w:rsidRDefault="0047397E" w:rsidP="0047397E">
      <w:pPr>
        <w:pStyle w:val="Ruller41"/>
        <w:spacing w:line="276" w:lineRule="auto"/>
        <w:ind w:left="753" w:right="1134"/>
        <w:rPr>
          <w:rFonts w:ascii="Century" w:hAnsi="Century"/>
          <w:rtl/>
        </w:rPr>
      </w:pPr>
      <w:r>
        <w:rPr>
          <w:rFonts w:ascii="Century" w:hAnsi="Century" w:hint="cs"/>
          <w:rtl/>
        </w:rPr>
        <w:lastRenderedPageBreak/>
        <w:t xml:space="preserve">"מטבע הדברים ניסיונות הרש"פ לאתר סייענים ומשתפי פעולה עם מדינת ישראל, עומדים בניגוד לאינטרסים הביטחוניים של המדינה. לא בכדי שמרה ישראל לעצמה בהסכמי הביניים ובמנשר את האחריות בתחום הביטחוני. </w:t>
      </w:r>
      <w:r w:rsidRPr="00F07BF3">
        <w:rPr>
          <w:rFonts w:ascii="Century" w:hAnsi="Century" w:hint="cs"/>
          <w:u w:val="single"/>
          <w:rtl/>
        </w:rPr>
        <w:t>אחריות זו יש לפרש במובן הרחב</w:t>
      </w:r>
      <w:r>
        <w:rPr>
          <w:rFonts w:ascii="Century" w:hAnsi="Century" w:hint="cs"/>
          <w:rtl/>
        </w:rPr>
        <w:t xml:space="preserve">, לרבות בתחום המודיעיני, שכולל גם "יומינט", קרי, הפעלה של סוכנים, סייענים ומשתפי פעולה. לרש"פ אין סמכות לבצע פעולות שפוגעות בביטחון המדינה, ובכלל זה פעולות החקירה והמעצר שננקטו על ידה על מנת לאתר סייענים ומשתפי פעולה עם המדינה. כפי שציין היועץ המשפטי לממשלה, זו עמדתו של המפקד הצבאי בהתבסס על עמדת השב"כ; ולנוכח הוראות סעיף 6(ב) למנשר, "קביעת מפקד כוחות צה"ל באזור כי כוחות ותחומי אחריות מוסיפים להיות בידו, תהיה מכרעת לעניין זה" (סעיף 36 לעמדת היועץ המשפטי לממשלה). מכאן המסקנה שעל פי הדין החל באזור </w:t>
      </w:r>
      <w:r w:rsidRPr="00F07BF3">
        <w:rPr>
          <w:rFonts w:ascii="Century" w:hAnsi="Century" w:hint="cs"/>
          <w:u w:val="single"/>
          <w:rtl/>
        </w:rPr>
        <w:t>אין לרש"פ סמכות לעצור ולחקור מי שחשוד בשיתוף פעולה עם ישראל</w:t>
      </w:r>
      <w:r>
        <w:rPr>
          <w:rFonts w:ascii="Century" w:hAnsi="Century" w:hint="cs"/>
          <w:rtl/>
        </w:rPr>
        <w:t>." [ההדגשות הוספו - מ.א] (שם, פסקה 14).</w:t>
      </w:r>
    </w:p>
    <w:p w:rsidR="0047397E" w:rsidRDefault="0047397E" w:rsidP="0047397E">
      <w:pPr>
        <w:pStyle w:val="Ruller41"/>
        <w:ind w:left="753"/>
        <w:rPr>
          <w:rFonts w:ascii="Century" w:hAnsi="Century"/>
          <w:rtl/>
        </w:rPr>
      </w:pPr>
    </w:p>
    <w:p w:rsidR="0047397E" w:rsidRPr="003049BD" w:rsidRDefault="0047397E" w:rsidP="0047397E">
      <w:pPr>
        <w:pStyle w:val="Ruller41"/>
        <w:rPr>
          <w:color w:val="FF0000"/>
          <w:rtl/>
        </w:rPr>
      </w:pPr>
      <w:r>
        <w:rPr>
          <w:rFonts w:ascii="Century" w:hAnsi="Century" w:hint="cs"/>
          <w:rtl/>
        </w:rPr>
        <w:t>6.</w:t>
      </w:r>
      <w:r>
        <w:rPr>
          <w:rFonts w:ascii="Century" w:hAnsi="Century" w:hint="cs"/>
          <w:rtl/>
        </w:rPr>
        <w:tab/>
      </w:r>
      <w:r>
        <w:rPr>
          <w:rFonts w:hint="cs"/>
          <w:rtl/>
        </w:rPr>
        <w:t xml:space="preserve">בית המשפט העליון המשיך והדגיש כי הרש"פ רשאית להגן על בטחונה שלה ולפעול נגד מי שפועל נגדה כל עוד אין בכך כדי לפגוע באינטרסים הביטחוניים של מדינת ישראל שכאמור, הותירה את האחריות הביטחונית בידיה. לכן הרש"פ רשאית לפעול, למשל, נגד מרגלים של חמאס או איראן (עניין </w:t>
      </w:r>
      <w:r w:rsidRPr="00E5484D">
        <w:rPr>
          <w:rFonts w:ascii="Miriam" w:hAnsi="Miriam" w:cs="Miriam"/>
          <w:sz w:val="24"/>
          <w:szCs w:val="24"/>
          <w:rtl/>
        </w:rPr>
        <w:t>פלונים</w:t>
      </w:r>
      <w:r>
        <w:rPr>
          <w:rFonts w:hint="cs"/>
          <w:rtl/>
        </w:rPr>
        <w:t xml:space="preserve">, פסקה 17).  </w:t>
      </w:r>
    </w:p>
    <w:p w:rsidR="0047397E" w:rsidRDefault="0047397E" w:rsidP="0047397E">
      <w:pPr>
        <w:pStyle w:val="Ruller41"/>
        <w:rPr>
          <w:rtl/>
        </w:rPr>
      </w:pPr>
    </w:p>
    <w:p w:rsidR="0047397E" w:rsidRDefault="0047397E" w:rsidP="0047397E">
      <w:pPr>
        <w:pStyle w:val="Ruller41"/>
        <w:rPr>
          <w:rtl/>
        </w:rPr>
      </w:pPr>
      <w:r>
        <w:rPr>
          <w:rFonts w:hint="cs"/>
          <w:rtl/>
        </w:rPr>
        <w:t>7.</w:t>
      </w:r>
      <w:r>
        <w:rPr>
          <w:rFonts w:hint="cs"/>
          <w:rtl/>
        </w:rPr>
        <w:tab/>
        <w:t xml:space="preserve">המסקנה העולה מכל האמור כפי שסוכמה בעניין </w:t>
      </w:r>
      <w:r w:rsidRPr="000F15B6">
        <w:rPr>
          <w:rFonts w:ascii="Miriam" w:hAnsi="Miriam" w:cs="Miriam"/>
          <w:sz w:val="24"/>
          <w:szCs w:val="24"/>
          <w:rtl/>
        </w:rPr>
        <w:t>פלונים</w:t>
      </w:r>
      <w:r>
        <w:rPr>
          <w:rFonts w:hint="cs"/>
          <w:rtl/>
        </w:rPr>
        <w:t xml:space="preserve">  </w:t>
      </w:r>
      <w:r>
        <w:rPr>
          <w:rFonts w:ascii="Century" w:hAnsi="Century" w:hint="cs"/>
          <w:rtl/>
        </w:rPr>
        <w:t>וצוטטה לעיל היא  "</w:t>
      </w:r>
      <w:r w:rsidRPr="0048572B">
        <w:rPr>
          <w:rFonts w:ascii="Miriam" w:hAnsi="Miriam" w:cs="Miriam"/>
          <w:sz w:val="24"/>
          <w:szCs w:val="24"/>
          <w:rtl/>
        </w:rPr>
        <w:t>שעל פי הדין החל באזור אין לרש"פ סמכות לעצור ולחקור מי שחשוד בשיתוף פעולה עם ישראל</w:t>
      </w:r>
      <w:r>
        <w:rPr>
          <w:rFonts w:ascii="Century" w:hAnsi="Century" w:hint="cs"/>
          <w:rtl/>
        </w:rPr>
        <w:t xml:space="preserve">" (שם, פסקה 14). </w:t>
      </w:r>
      <w:r>
        <w:rPr>
          <w:rFonts w:hint="cs"/>
          <w:rtl/>
        </w:rPr>
        <w:t xml:space="preserve">ואף כי יתכנו תקופות שבהן התוצאה תהיה שונה בשל שיתוף פעולה בטחוני הדוק בין מדינת ישראל ובין הרשות הפלסטינית אין זה המצב במקרה </w:t>
      </w:r>
      <w:r w:rsidRPr="00754D20">
        <w:rPr>
          <w:rFonts w:ascii="Miriam" w:hAnsi="Miriam" w:cs="Miriam"/>
          <w:sz w:val="24"/>
          <w:szCs w:val="24"/>
          <w:rtl/>
        </w:rPr>
        <w:t>פלונים</w:t>
      </w:r>
      <w:r>
        <w:rPr>
          <w:rFonts w:hint="cs"/>
          <w:rtl/>
        </w:rPr>
        <w:t xml:space="preserve"> כעולה מעמדת היועץ המשפטי לממשלה ועמדת המפקד הצבאי באזור. לגבי מקרים שיקרו בעתיד, צויין כי ישנה חשיבות לקבלת עמדת המפקד הצבאי באזור (עניין </w:t>
      </w:r>
      <w:r w:rsidRPr="00CC2738">
        <w:rPr>
          <w:rFonts w:ascii="Miriam" w:hAnsi="Miriam" w:cs="Miriam"/>
          <w:sz w:val="24"/>
          <w:szCs w:val="24"/>
          <w:rtl/>
        </w:rPr>
        <w:t>פלונים,</w:t>
      </w:r>
      <w:r>
        <w:rPr>
          <w:rFonts w:hint="cs"/>
          <w:rtl/>
        </w:rPr>
        <w:t xml:space="preserve">  פסקה 17). יוער כי עמדת היועץ המשפטי לממשלה הוגשה כאמור בינואר 2021 בעת שהתנהל הליך זה שבפניי. לכן בצדק לא טענה הרש"פ כי יש לקבל עמדה נוספת לצורך ההליך דנן.  </w:t>
      </w:r>
    </w:p>
    <w:p w:rsidR="0047397E" w:rsidRDefault="0047397E" w:rsidP="0047397E">
      <w:pPr>
        <w:pStyle w:val="Ruller41"/>
        <w:rPr>
          <w:rtl/>
        </w:rPr>
      </w:pPr>
    </w:p>
    <w:p w:rsidR="0047397E" w:rsidRPr="00890DCD" w:rsidRDefault="0047397E" w:rsidP="0047397E">
      <w:pPr>
        <w:pStyle w:val="Ruller41"/>
        <w:rPr>
          <w:rFonts w:ascii="FrankRuehl" w:hAnsi="FrankRuehl"/>
          <w:b/>
          <w:spacing w:val="0"/>
          <w:sz w:val="28"/>
          <w:rtl/>
        </w:rPr>
      </w:pPr>
      <w:r>
        <w:rPr>
          <w:rFonts w:hint="cs"/>
          <w:rtl/>
        </w:rPr>
        <w:lastRenderedPageBreak/>
        <w:t>8.</w:t>
      </w:r>
      <w:r>
        <w:rPr>
          <w:rFonts w:hint="cs"/>
          <w:rtl/>
        </w:rPr>
        <w:tab/>
        <w:t xml:space="preserve">הרש"פ טוענת שקביעת בית המשפט העליון בנוגע להעדר סמכותה לעצור משתפי פעולה חלה רק במקרים שבהם שיתוף הפעולה שבו נחשד התובע נוגע לעבירות ביטחוניות ואין זה המקרה שלפנינו. הרש"פ מפנה בעניין זה </w:t>
      </w:r>
      <w:r>
        <w:rPr>
          <w:rFonts w:ascii="FrankRuehl" w:hAnsi="FrankRuehl" w:hint="cs"/>
          <w:b/>
          <w:spacing w:val="0"/>
          <w:sz w:val="28"/>
          <w:rtl/>
        </w:rPr>
        <w:t xml:space="preserve">לעניין </w:t>
      </w:r>
      <w:r w:rsidRPr="00F07BF3">
        <w:rPr>
          <w:rFonts w:ascii="Miriam" w:hAnsi="Miriam" w:cs="Miriam"/>
          <w:b/>
          <w:spacing w:val="0"/>
          <w:sz w:val="24"/>
          <w:szCs w:val="24"/>
          <w:rtl/>
        </w:rPr>
        <w:t>פלונים</w:t>
      </w:r>
      <w:r>
        <w:rPr>
          <w:rFonts w:ascii="FrankRuehl" w:hAnsi="FrankRuehl" w:hint="cs"/>
          <w:b/>
          <w:spacing w:val="0"/>
          <w:sz w:val="28"/>
          <w:rtl/>
        </w:rPr>
        <w:t xml:space="preserve">, שבמסגרתו </w:t>
      </w:r>
      <w:r w:rsidRPr="000F15B6">
        <w:rPr>
          <w:rFonts w:ascii="FrankRuehl" w:hAnsi="FrankRuehl"/>
          <w:b/>
          <w:spacing w:val="0"/>
          <w:sz w:val="28"/>
          <w:rtl/>
        </w:rPr>
        <w:t xml:space="preserve">דן בית המשפט עליון </w:t>
      </w:r>
      <w:r>
        <w:rPr>
          <w:rFonts w:ascii="FrankRuehl" w:hAnsi="FrankRuehl" w:hint="cs"/>
          <w:b/>
          <w:spacing w:val="0"/>
          <w:sz w:val="28"/>
          <w:rtl/>
        </w:rPr>
        <w:t>גם ב</w:t>
      </w:r>
      <w:r w:rsidRPr="000F15B6">
        <w:rPr>
          <w:rFonts w:ascii="FrankRuehl" w:hAnsi="FrankRuehl"/>
          <w:b/>
          <w:spacing w:val="0"/>
          <w:sz w:val="28"/>
          <w:rtl/>
        </w:rPr>
        <w:t>ערעורו של התובע מס' 9 בת"א 5074/03</w:t>
      </w:r>
      <w:r w:rsidRPr="00890DCD">
        <w:rPr>
          <w:rFonts w:ascii="FrankRuehl" w:hAnsi="FrankRuehl"/>
          <w:b/>
          <w:spacing w:val="0"/>
          <w:sz w:val="28"/>
          <w:rtl/>
        </w:rPr>
        <w:t xml:space="preserve"> </w:t>
      </w:r>
      <w:r>
        <w:rPr>
          <w:rFonts w:ascii="FrankRuehl" w:hAnsi="FrankRuehl" w:hint="cs"/>
          <w:b/>
          <w:spacing w:val="0"/>
          <w:sz w:val="28"/>
          <w:rtl/>
        </w:rPr>
        <w:t>(</w:t>
      </w:r>
      <w:r w:rsidRPr="000F15B6">
        <w:rPr>
          <w:rFonts w:ascii="FrankRuehl" w:hAnsi="FrankRuehl"/>
          <w:b/>
          <w:spacing w:val="0"/>
          <w:sz w:val="28"/>
          <w:rtl/>
        </w:rPr>
        <w:t xml:space="preserve">ע"א 5105/17 </w:t>
      </w:r>
      <w:r>
        <w:rPr>
          <w:rFonts w:ascii="FrankRuehl" w:hAnsi="FrankRuehl" w:hint="cs"/>
          <w:b/>
          <w:spacing w:val="0"/>
          <w:sz w:val="28"/>
          <w:rtl/>
        </w:rPr>
        <w:t xml:space="preserve">)(להלן: </w:t>
      </w:r>
      <w:r w:rsidRPr="000F15B6">
        <w:rPr>
          <w:rFonts w:ascii="Miriam" w:hAnsi="Miriam" w:cs="Miriam"/>
          <w:b/>
          <w:spacing w:val="0"/>
          <w:sz w:val="24"/>
          <w:szCs w:val="24"/>
          <w:rtl/>
        </w:rPr>
        <w:t>תובע מס' 9</w:t>
      </w:r>
      <w:r>
        <w:rPr>
          <w:rFonts w:ascii="FrankRuehl" w:hAnsi="FrankRuehl" w:hint="cs"/>
          <w:b/>
          <w:spacing w:val="0"/>
          <w:sz w:val="28"/>
          <w:rtl/>
        </w:rPr>
        <w:t xml:space="preserve"> )שעניינו נדון ב</w:t>
      </w:r>
      <w:r w:rsidRPr="000F15B6">
        <w:rPr>
          <w:rFonts w:ascii="FrankRuehl" w:hAnsi="FrankRuehl"/>
          <w:b/>
          <w:spacing w:val="0"/>
          <w:sz w:val="28"/>
          <w:rtl/>
        </w:rPr>
        <w:t xml:space="preserve">פרק מד </w:t>
      </w:r>
      <w:r>
        <w:rPr>
          <w:rFonts w:ascii="FrankRuehl" w:hAnsi="FrankRuehl" w:hint="cs"/>
          <w:b/>
          <w:spacing w:val="0"/>
          <w:sz w:val="28"/>
          <w:rtl/>
        </w:rPr>
        <w:t xml:space="preserve">להחלטת החבות ותביעתו נמחקה על ידי כב' השופט </w:t>
      </w:r>
      <w:r w:rsidRPr="00FA0888">
        <w:rPr>
          <w:rFonts w:ascii="Miriam" w:hAnsi="Miriam" w:cs="Miriam"/>
          <w:b/>
          <w:spacing w:val="0"/>
          <w:sz w:val="24"/>
          <w:szCs w:val="24"/>
          <w:rtl/>
        </w:rPr>
        <w:t>דרורי</w:t>
      </w:r>
      <w:r>
        <w:rPr>
          <w:rFonts w:ascii="Miriam" w:hAnsi="Miriam" w:cs="Miriam" w:hint="cs"/>
          <w:b/>
          <w:spacing w:val="0"/>
          <w:sz w:val="24"/>
          <w:szCs w:val="24"/>
          <w:rtl/>
        </w:rPr>
        <w:t xml:space="preserve"> </w:t>
      </w:r>
      <w:r w:rsidRPr="00890DCD">
        <w:rPr>
          <w:rFonts w:ascii="FrankRuehl" w:hAnsi="FrankRuehl"/>
          <w:b/>
          <w:spacing w:val="0"/>
          <w:sz w:val="28"/>
          <w:rtl/>
        </w:rPr>
        <w:t xml:space="preserve">במסגרת החלטת החבות. </w:t>
      </w:r>
    </w:p>
    <w:p w:rsidR="0047397E" w:rsidRDefault="0047397E" w:rsidP="0047397E">
      <w:pPr>
        <w:pStyle w:val="Ruller41"/>
        <w:rPr>
          <w:rFonts w:ascii="FrankRuehl" w:hAnsi="FrankRuehl"/>
          <w:b/>
          <w:spacing w:val="0"/>
          <w:sz w:val="28"/>
          <w:rtl/>
        </w:rPr>
      </w:pPr>
    </w:p>
    <w:p w:rsidR="0047397E" w:rsidRDefault="0047397E" w:rsidP="0047397E">
      <w:pPr>
        <w:pStyle w:val="Ruller41"/>
        <w:rPr>
          <w:rtl/>
        </w:rPr>
      </w:pPr>
      <w:r>
        <w:rPr>
          <w:rFonts w:ascii="FrankRuehl" w:hAnsi="FrankRuehl" w:hint="cs"/>
          <w:b/>
          <w:spacing w:val="0"/>
          <w:sz w:val="28"/>
          <w:rtl/>
        </w:rPr>
        <w:t>9.</w:t>
      </w:r>
      <w:r>
        <w:rPr>
          <w:rFonts w:ascii="FrankRuehl" w:hAnsi="FrankRuehl" w:hint="cs"/>
          <w:b/>
          <w:spacing w:val="0"/>
          <w:sz w:val="28"/>
          <w:rtl/>
        </w:rPr>
        <w:tab/>
      </w:r>
      <w:r>
        <w:rPr>
          <w:rFonts w:hint="cs"/>
          <w:rtl/>
        </w:rPr>
        <w:t xml:space="preserve">בהחלטת החבות </w:t>
      </w:r>
      <w:r>
        <w:rPr>
          <w:rFonts w:ascii="Century" w:hAnsi="Century" w:hint="cs"/>
          <w:rtl/>
        </w:rPr>
        <w:t xml:space="preserve">נקבע כי תובע מס' 9 לא מחזיק באזרחות ישראלית ונשא בעבר תעודת זהות פלסטינית, </w:t>
      </w:r>
      <w:r>
        <w:rPr>
          <w:rFonts w:hint="cs"/>
          <w:rtl/>
        </w:rPr>
        <w:t xml:space="preserve">ולכן אזרחותו לא מנעה מהרש"פ לעצרו; כי תובע מס' 9 נעצר בשטח </w:t>
      </w:r>
      <w:r>
        <w:rPr>
          <w:rFonts w:hint="cs"/>
        </w:rPr>
        <w:t>A</w:t>
      </w:r>
      <w:r>
        <w:rPr>
          <w:rFonts w:hint="cs"/>
          <w:rtl/>
        </w:rPr>
        <w:t xml:space="preserve">; וכי עילת מעצרו הייתה סחר בנשק ללא קשר כלשהו למדינת ישראל. לכן קבע בית המשפט המחוזי כי תובע מס' 9 </w:t>
      </w:r>
      <w:r w:rsidRPr="00941CE8">
        <w:rPr>
          <w:rFonts w:hint="cs"/>
          <w:rtl/>
        </w:rPr>
        <w:t>לא הרים את הנטל להראות כי מעצרו נעשה בגין עילה ביטחונית.</w:t>
      </w:r>
      <w:r>
        <w:rPr>
          <w:rFonts w:hint="cs"/>
          <w:rtl/>
        </w:rPr>
        <w:t xml:space="preserve"> משכך, מחק בית המשפט את תביעתו. </w:t>
      </w:r>
    </w:p>
    <w:p w:rsidR="0047397E" w:rsidRDefault="0047397E" w:rsidP="0047397E">
      <w:pPr>
        <w:pStyle w:val="Ruller41"/>
        <w:rPr>
          <w:rtl/>
        </w:rPr>
      </w:pPr>
    </w:p>
    <w:p w:rsidR="0047397E" w:rsidRDefault="0047397E" w:rsidP="0047397E">
      <w:pPr>
        <w:pStyle w:val="Ruller41"/>
        <w:rPr>
          <w:rFonts w:ascii="Century" w:hAnsi="Century"/>
          <w:rtl/>
        </w:rPr>
      </w:pPr>
      <w:r>
        <w:rPr>
          <w:rFonts w:hint="cs"/>
          <w:rtl/>
        </w:rPr>
        <w:t>10.</w:t>
      </w:r>
      <w:r>
        <w:rPr>
          <w:rFonts w:hint="cs"/>
          <w:rtl/>
        </w:rPr>
        <w:tab/>
      </w:r>
      <w:r w:rsidRPr="0086287D">
        <w:rPr>
          <w:rFonts w:ascii="Century" w:hAnsi="Century" w:hint="cs"/>
          <w:rtl/>
        </w:rPr>
        <w:t xml:space="preserve">במסגרת הערעור </w:t>
      </w:r>
      <w:r>
        <w:rPr>
          <w:rFonts w:ascii="Century" w:hAnsi="Century" w:hint="cs"/>
          <w:rtl/>
        </w:rPr>
        <w:t xml:space="preserve">בעניין </w:t>
      </w:r>
      <w:r w:rsidRPr="000F15B6">
        <w:rPr>
          <w:rFonts w:ascii="Miriam" w:hAnsi="Miriam" w:cs="Miriam"/>
          <w:sz w:val="24"/>
          <w:szCs w:val="24"/>
          <w:rtl/>
        </w:rPr>
        <w:t>פלונים</w:t>
      </w:r>
      <w:r>
        <w:rPr>
          <w:rFonts w:ascii="Century" w:hAnsi="Century" w:hint="cs"/>
          <w:rtl/>
        </w:rPr>
        <w:t xml:space="preserve"> </w:t>
      </w:r>
      <w:r w:rsidRPr="0086287D">
        <w:rPr>
          <w:rFonts w:ascii="Century" w:hAnsi="Century" w:hint="cs"/>
          <w:rtl/>
        </w:rPr>
        <w:t xml:space="preserve">טען </w:t>
      </w:r>
      <w:r>
        <w:rPr>
          <w:rFonts w:ascii="Century" w:hAnsi="Century" w:hint="cs"/>
          <w:rtl/>
        </w:rPr>
        <w:t xml:space="preserve">תובע מס' 9 כי </w:t>
      </w:r>
      <w:r w:rsidRPr="0086287D">
        <w:rPr>
          <w:rFonts w:ascii="Century" w:hAnsi="Century" w:hint="cs"/>
          <w:rtl/>
        </w:rPr>
        <w:t xml:space="preserve">עילת מעצרו </w:t>
      </w:r>
      <w:r>
        <w:rPr>
          <w:rFonts w:ascii="Century" w:hAnsi="Century" w:hint="cs"/>
          <w:rtl/>
        </w:rPr>
        <w:t>הייתה ביטחונית ולא פלילית ולכן לא היה מקום למחוק את תביעתו. בית המשפט העליון דחה את הערעור ואישר את פסק דינו של בית המשפט המחוזי בציינו כי בית משפט קמא ביסס את קביעתו זו, בין היתר, על כך "</w:t>
      </w:r>
      <w:r w:rsidRPr="000F15B6">
        <w:rPr>
          <w:rFonts w:ascii="Miriam" w:hAnsi="Miriam" w:cs="Miriam"/>
          <w:sz w:val="24"/>
          <w:szCs w:val="24"/>
          <w:rtl/>
        </w:rPr>
        <w:t xml:space="preserve">שבניגוד לתובעים האחרים, הרש"פ לא טענה כי המערער נעצר בגין שיתוף פעולה עם ישראל אלא טענה שעילת מעצרו היתה עבירה של סחר בנשק; על הסכמת ב"כ המערער לגרסת הרש"פ ביחס לעילת המעצר; ועל עדותו של המערער בפני בית המשפט במסגרתה הודה כי החזיק ברובה מסוג </w:t>
      </w:r>
      <w:r w:rsidRPr="000F15B6">
        <w:rPr>
          <w:rFonts w:ascii="Miriam" w:hAnsi="Miriam" w:cs="Miriam"/>
          <w:sz w:val="24"/>
          <w:szCs w:val="24"/>
        </w:rPr>
        <w:t>M16</w:t>
      </w:r>
      <w:r w:rsidRPr="000F15B6">
        <w:rPr>
          <w:rFonts w:ascii="Miriam" w:hAnsi="Miriam" w:cs="Miriam"/>
          <w:sz w:val="24"/>
          <w:szCs w:val="24"/>
          <w:rtl/>
        </w:rPr>
        <w:t xml:space="preserve"> ומסר אותו בזמן אמת לידי הרש"פ – כך שיש ממש באישום של סחר בנשק... הרש"פ הצביעה על טעם שהתיר לה לעצור את המערער בדל"ת אמות סמכויותיה</w:t>
      </w:r>
      <w:r>
        <w:rPr>
          <w:rFonts w:ascii="Miriam" w:hAnsi="Miriam" w:cs="Miriam" w:hint="cs"/>
          <w:sz w:val="24"/>
          <w:szCs w:val="24"/>
          <w:rtl/>
        </w:rPr>
        <w:t>"</w:t>
      </w:r>
      <w:r w:rsidRPr="000F15B6">
        <w:rPr>
          <w:rFonts w:ascii="Miriam" w:hAnsi="Miriam" w:cs="Miriam"/>
          <w:sz w:val="24"/>
          <w:szCs w:val="24"/>
          <w:rtl/>
        </w:rPr>
        <w:t>.</w:t>
      </w:r>
      <w:r>
        <w:rPr>
          <w:rFonts w:ascii="Century" w:hAnsi="Century" w:hint="cs"/>
          <w:rtl/>
        </w:rPr>
        <w:t xml:space="preserve"> (פסקה 27 לעניין </w:t>
      </w:r>
      <w:r w:rsidRPr="000F15B6">
        <w:rPr>
          <w:rFonts w:ascii="Miriam" w:hAnsi="Miriam" w:cs="Miriam"/>
          <w:sz w:val="24"/>
          <w:szCs w:val="24"/>
          <w:rtl/>
        </w:rPr>
        <w:t>פלונים</w:t>
      </w:r>
      <w:r>
        <w:rPr>
          <w:rFonts w:ascii="Century" w:hAnsi="Century" w:hint="cs"/>
          <w:rtl/>
        </w:rPr>
        <w:t>).</w:t>
      </w:r>
    </w:p>
    <w:p w:rsidR="0047397E" w:rsidRDefault="0047397E" w:rsidP="0047397E">
      <w:pPr>
        <w:pStyle w:val="Ruller41"/>
        <w:rPr>
          <w:rFonts w:ascii="Century" w:hAnsi="Century"/>
          <w:rtl/>
        </w:rPr>
      </w:pPr>
    </w:p>
    <w:p w:rsidR="0047397E" w:rsidRDefault="0047397E" w:rsidP="0047397E">
      <w:pPr>
        <w:pStyle w:val="Ruller41"/>
        <w:rPr>
          <w:rtl/>
        </w:rPr>
      </w:pPr>
      <w:r>
        <w:rPr>
          <w:rFonts w:ascii="Century" w:hAnsi="Century" w:hint="cs"/>
          <w:rtl/>
        </w:rPr>
        <w:t>11.</w:t>
      </w:r>
      <w:r>
        <w:rPr>
          <w:rFonts w:ascii="Century" w:hAnsi="Century" w:hint="cs"/>
          <w:rtl/>
        </w:rPr>
        <w:tab/>
      </w:r>
      <w:r>
        <w:rPr>
          <w:rFonts w:hint="cs"/>
          <w:rtl/>
        </w:rPr>
        <w:t xml:space="preserve">הרש"פ טוענת שגם במקרה שלפנינו התובע נעצר בגין עבירת נשק, ולכן הייתה לה סמכות לעצור ולחקור את התובע כפי שהייתה לה סמכות בעניינו של תובע מס' 9 בעניין </w:t>
      </w:r>
      <w:r w:rsidRPr="00FA0888">
        <w:rPr>
          <w:rFonts w:ascii="Miriam" w:hAnsi="Miriam" w:cs="Miriam"/>
          <w:sz w:val="24"/>
          <w:szCs w:val="24"/>
          <w:rtl/>
        </w:rPr>
        <w:t>פלונים</w:t>
      </w:r>
      <w:r>
        <w:rPr>
          <w:rFonts w:hint="cs"/>
          <w:rtl/>
        </w:rPr>
        <w:t xml:space="preserve">. אלא שבניגוד לעניינו של תובע מס' 9 שלא נחשד כלל בשיתוף פעולה עם ישראל, בענייננו אין חולק על כך שהתובע נכלא על ידי הרש"פ בחשד לשיתוף פעולה עם גורמי הביטחון בישראל. לכן אין בפסק הדין בעניינו של תובע מס' 9 בעניין </w:t>
      </w:r>
      <w:r w:rsidRPr="008B7749">
        <w:rPr>
          <w:rFonts w:ascii="Miriam" w:hAnsi="Miriam" w:cs="Miriam"/>
          <w:sz w:val="24"/>
          <w:szCs w:val="24"/>
          <w:rtl/>
        </w:rPr>
        <w:t xml:space="preserve">פלונים </w:t>
      </w:r>
      <w:r>
        <w:rPr>
          <w:rFonts w:hint="cs"/>
          <w:rtl/>
        </w:rPr>
        <w:lastRenderedPageBreak/>
        <w:t xml:space="preserve">כדי להוביל למסקנה זהה בעניינו של התובע שלפנינו שכאמור אין חולק על כך שהוא נכלא בגין שיתוף פעולה עם ישראל.  </w:t>
      </w:r>
    </w:p>
    <w:p w:rsidR="0047397E" w:rsidRDefault="0047397E" w:rsidP="0047397E">
      <w:pPr>
        <w:pStyle w:val="Ruller41"/>
        <w:rPr>
          <w:rtl/>
        </w:rPr>
      </w:pPr>
    </w:p>
    <w:p w:rsidR="0047397E" w:rsidRDefault="0047397E" w:rsidP="0047397E">
      <w:pPr>
        <w:pStyle w:val="Ruller41"/>
        <w:rPr>
          <w:rtl/>
        </w:rPr>
      </w:pPr>
      <w:r>
        <w:rPr>
          <w:rFonts w:hint="cs"/>
          <w:rtl/>
        </w:rPr>
        <w:t>12.</w:t>
      </w:r>
      <w:r>
        <w:rPr>
          <w:rFonts w:hint="cs"/>
          <w:rtl/>
        </w:rPr>
        <w:tab/>
        <w:t xml:space="preserve">עוד מפנה הרש"פ, לפסיקתו של כב' השופט </w:t>
      </w:r>
      <w:r w:rsidRPr="00FA0888">
        <w:rPr>
          <w:rFonts w:ascii="Miriam" w:hAnsi="Miriam" w:cs="Miriam"/>
          <w:sz w:val="24"/>
          <w:szCs w:val="24"/>
          <w:rtl/>
        </w:rPr>
        <w:t>דרורי</w:t>
      </w:r>
      <w:r>
        <w:rPr>
          <w:rFonts w:hint="cs"/>
          <w:rtl/>
        </w:rPr>
        <w:t xml:space="preserve"> מיום 16.7.2019 במסגרתה נמחקו התביעות של תובע מס' 5 בת.א 2129/08 ותובעת מס' 2 (אשת המנוח שנכלא בשל שיתוף פעולה) בת.א 7123/05. לגבי תובעים אלה נקבע, שהגם שהם נחשדו על ידי הרש"פ בשיתוף פעולה עם ישראל (בניגוד לנתבע 9 הנ"ל), הרי שבשל העובדה שהחשד לשיתוף פעולה היה בנושאים כלכליים ולא ביטחוניים, הרש"פ הייתה מוסמכת לעצרם (פסקאות 999-912 וכן סעיפים 1166-1153). לכן נמחקה תביעתם של תובע מס' 5 ותובעת מס' 2 הנ"ל שהואשמו על ידי הרש"פ בשיתוף פעולה עם ישראל במסירת מידע בעניין גניבות רכב ולא בעבירות ביטחוניות. על פסיקה זו לא הוגש ערעור (להלן: </w:t>
      </w:r>
      <w:r w:rsidRPr="00F13DB0">
        <w:rPr>
          <w:rFonts w:ascii="Miriam" w:hAnsi="Miriam" w:cs="Miriam"/>
          <w:sz w:val="24"/>
          <w:szCs w:val="24"/>
          <w:rtl/>
        </w:rPr>
        <w:t>פסק הדין בעניין גניבות הרכב</w:t>
      </w:r>
      <w:r>
        <w:rPr>
          <w:rFonts w:hint="cs"/>
          <w:rtl/>
        </w:rPr>
        <w:t xml:space="preserve">). </w:t>
      </w:r>
    </w:p>
    <w:p w:rsidR="0047397E" w:rsidRDefault="0047397E" w:rsidP="0047397E">
      <w:pPr>
        <w:pStyle w:val="Ruller41"/>
        <w:rPr>
          <w:rtl/>
        </w:rPr>
      </w:pPr>
    </w:p>
    <w:p w:rsidR="0047397E" w:rsidRDefault="0047397E" w:rsidP="0047397E">
      <w:pPr>
        <w:pStyle w:val="Ruller41"/>
        <w:rPr>
          <w:rtl/>
        </w:rPr>
      </w:pPr>
      <w:r>
        <w:rPr>
          <w:rFonts w:hint="cs"/>
          <w:rtl/>
        </w:rPr>
        <w:t>13.</w:t>
      </w:r>
      <w:r>
        <w:rPr>
          <w:rFonts w:hint="cs"/>
          <w:rtl/>
        </w:rPr>
        <w:tab/>
        <w:t>התובע טוען שאין ליישם בענייננו את פסק הדין בעניין גניבות הרכב היות שבניגוד למקרה שם, הוא נעצר משום ששיתף פעולה עם ישראל לשם סיכול טרור. בחקירתו הנגדית תיאר התובע "</w:t>
      </w:r>
      <w:r w:rsidRPr="009C24AE">
        <w:rPr>
          <w:rFonts w:ascii="Miriam" w:hAnsi="Miriam" w:cs="Miriam"/>
          <w:sz w:val="24"/>
          <w:szCs w:val="24"/>
          <w:rtl/>
        </w:rPr>
        <w:t>משנת 2004 שירתי בכוחות הביטחון, הייתי עם שב"כ ישראלי, הייתי פעיל בפעולות נגד טרור כדי לשמור על המדינה..."</w:t>
      </w:r>
      <w:r>
        <w:rPr>
          <w:rFonts w:hint="cs"/>
          <w:rtl/>
        </w:rPr>
        <w:t xml:space="preserve"> (עמ' 6 שו' 25-24 לפרוטוקול הדיון מיום 2.11.2021). כן סיפר בחקירתו הנגדית שהוא נחקר ברש"פ לגבי "</w:t>
      </w:r>
      <w:r w:rsidRPr="00327484">
        <w:rPr>
          <w:rFonts w:ascii="Miriam" w:hAnsi="Miriam" w:cs="Miriam"/>
          <w:sz w:val="24"/>
          <w:szCs w:val="24"/>
          <w:rtl/>
        </w:rPr>
        <w:t>תמונות של שהידים</w:t>
      </w:r>
      <w:r>
        <w:rPr>
          <w:rFonts w:hint="cs"/>
          <w:rtl/>
        </w:rPr>
        <w:t>" (שם, עמ' 17 שו' 17) וגם "</w:t>
      </w:r>
      <w:r w:rsidRPr="00327484">
        <w:rPr>
          <w:rFonts w:ascii="Miriam" w:hAnsi="Miriam" w:cs="Miriam"/>
          <w:sz w:val="24"/>
          <w:szCs w:val="24"/>
          <w:rtl/>
        </w:rPr>
        <w:t>לגבי נשק. אנשים שהידים חקרו, ועל אנשים בתוך מאסר עולם</w:t>
      </w:r>
      <w:r>
        <w:rPr>
          <w:rFonts w:hint="cs"/>
          <w:rtl/>
        </w:rPr>
        <w:t xml:space="preserve">" (שם, שם,  שו' 21). לטענת התובע הדברים אף עולים מכך שבעת מעצרו יוחסה לו בגידה, ובכתב האישום הוא הואשם והורשע בעבירה על סעיף 131 לחוק העונשין הפלסטיני הקובע: </w:t>
      </w:r>
    </w:p>
    <w:p w:rsidR="0047397E" w:rsidRPr="00FA0888" w:rsidRDefault="0047397E" w:rsidP="0047397E">
      <w:pPr>
        <w:pStyle w:val="Ruller41"/>
        <w:spacing w:line="240" w:lineRule="auto"/>
        <w:rPr>
          <w:sz w:val="10"/>
          <w:szCs w:val="16"/>
        </w:rPr>
      </w:pPr>
    </w:p>
    <w:p w:rsidR="0047397E" w:rsidRDefault="0047397E" w:rsidP="0047397E">
      <w:pPr>
        <w:pStyle w:val="Ruller41"/>
        <w:tabs>
          <w:tab w:val="clear" w:pos="800"/>
        </w:tabs>
        <w:spacing w:line="240" w:lineRule="auto"/>
        <w:ind w:left="1178" w:right="1560" w:hanging="141"/>
        <w:rPr>
          <w:rtl/>
        </w:rPr>
      </w:pPr>
      <w:r>
        <w:rPr>
          <w:rFonts w:hint="cs"/>
          <w:rtl/>
        </w:rPr>
        <w:t>"</w:t>
      </w:r>
      <w:r w:rsidRPr="00187F8D">
        <w:rPr>
          <w:rFonts w:hint="cs"/>
          <w:sz w:val="24"/>
          <w:szCs w:val="24"/>
          <w:rtl/>
        </w:rPr>
        <w:t>131. עונש מוות יוטל על כל מי ש</w:t>
      </w:r>
      <w:r>
        <w:rPr>
          <w:rFonts w:hint="cs"/>
          <w:rtl/>
        </w:rPr>
        <w:t xml:space="preserve">: </w:t>
      </w:r>
    </w:p>
    <w:p w:rsidR="0047397E" w:rsidRPr="00187F8D" w:rsidRDefault="0047397E" w:rsidP="0047397E">
      <w:pPr>
        <w:pStyle w:val="Ruller41"/>
        <w:tabs>
          <w:tab w:val="clear" w:pos="800"/>
        </w:tabs>
        <w:spacing w:line="240" w:lineRule="auto"/>
        <w:ind w:left="1178" w:right="1560" w:hanging="141"/>
        <w:rPr>
          <w:sz w:val="8"/>
          <w:szCs w:val="10"/>
          <w:rtl/>
        </w:rPr>
      </w:pPr>
    </w:p>
    <w:p w:rsidR="0047397E" w:rsidRDefault="0047397E" w:rsidP="0047397E">
      <w:pPr>
        <w:pStyle w:val="Ruller41"/>
        <w:numPr>
          <w:ilvl w:val="0"/>
          <w:numId w:val="19"/>
        </w:numPr>
        <w:tabs>
          <w:tab w:val="clear" w:pos="800"/>
        </w:tabs>
        <w:spacing w:line="240" w:lineRule="auto"/>
        <w:ind w:left="1178" w:right="1560" w:firstLine="0"/>
      </w:pPr>
      <w:r>
        <w:rPr>
          <w:rFonts w:hint="cs"/>
          <w:rtl/>
        </w:rPr>
        <w:t xml:space="preserve">פעל למען מדינה או גורם האוייב למהפכה, יצר איתם קשר [יכול להיות גם ריגול], עם מי שפועל לטובתם כדי לבצע פעולות עוינות נגד המהפכה". </w:t>
      </w:r>
    </w:p>
    <w:p w:rsidR="0047397E" w:rsidRPr="00C46C05" w:rsidRDefault="0047397E" w:rsidP="0047397E">
      <w:pPr>
        <w:pStyle w:val="Ruller41"/>
        <w:tabs>
          <w:tab w:val="clear" w:pos="800"/>
        </w:tabs>
        <w:spacing w:line="240" w:lineRule="auto"/>
        <w:ind w:left="1178" w:right="1560"/>
        <w:rPr>
          <w:sz w:val="8"/>
          <w:szCs w:val="12"/>
        </w:rPr>
      </w:pPr>
    </w:p>
    <w:p w:rsidR="0047397E" w:rsidRDefault="0047397E" w:rsidP="0047397E">
      <w:pPr>
        <w:pStyle w:val="Ruller41"/>
        <w:spacing w:line="240" w:lineRule="auto"/>
        <w:rPr>
          <w:rtl/>
        </w:rPr>
      </w:pPr>
    </w:p>
    <w:p w:rsidR="0047397E" w:rsidRDefault="0047397E" w:rsidP="0047397E">
      <w:pPr>
        <w:pStyle w:val="Ruller41"/>
        <w:rPr>
          <w:rtl/>
        </w:rPr>
      </w:pPr>
      <w:r>
        <w:rPr>
          <w:rFonts w:hint="cs"/>
          <w:rtl/>
        </w:rPr>
        <w:t>14.</w:t>
      </w:r>
      <w:r>
        <w:rPr>
          <w:rFonts w:hint="cs"/>
          <w:rtl/>
        </w:rPr>
        <w:tab/>
        <w:t xml:space="preserve">הרש"פ טוענת מנגד, שסעיף 131 לחוק העונשין הפלסטיני הוא סעיף כללי שחל לגבי כל העברת מידע לגורמי ביטחון במדינת ישראל ואין ללמוד מכך שהמעצר וכתב </w:t>
      </w:r>
      <w:r>
        <w:rPr>
          <w:rFonts w:hint="cs"/>
          <w:rtl/>
        </w:rPr>
        <w:lastRenderedPageBreak/>
        <w:t xml:space="preserve">האישום שהוגש נגד התובע על ידי הרש"פ, קשורים בעבירות ביטחוניות. עוד טוענת הרש"פ כי התובע נעצר בגין שיתוף פעולה עם החמס והחזקת נשק המהווים איום וסכנה לסדר הכללי והציבורי ולאחר שבחקירתו הודה בהחזקת נשק ומסירת מידע למודיעין הישראלי, נגבו ממנו הודעות והוגש כתב אישום בגין מסירת מידע למודיעין הישראלי ושיתוף פעולה עם ישראל בעניין גניבת פלאפונים ואחזקת נשק על ידי אזרחים פלסטיניים שברשותם נשק. מכאן, לטענת הרש"פ, שהתובע לא נעצר רק בשל מסירת מידע אודות אזרחים שברשותם נשק וכי מכל מקום גם מסירת מידע על החזקת נשק כשלעצמה, כל עוד לא מדובר בשימוש בנשק לצורכי טרור ופגיעה בביטחון מדינת ישראל, וכל עוד מדובר באזרחים שאינם חלק מארגוני טרור, המחזיקים בנשק, איננה מהווה פעולה הפוגעת בביטחון המדינה ואין לראות במסירת מידע מסוג זה כמסירת מידע בעל אינטרס בטחוני לישראל.    </w:t>
      </w:r>
    </w:p>
    <w:p w:rsidR="0047397E" w:rsidRDefault="0047397E" w:rsidP="0047397E">
      <w:pPr>
        <w:pStyle w:val="Ruller41"/>
        <w:rPr>
          <w:rtl/>
        </w:rPr>
      </w:pPr>
    </w:p>
    <w:p w:rsidR="0047397E" w:rsidRDefault="0047397E" w:rsidP="0047397E">
      <w:pPr>
        <w:pStyle w:val="Ruller41"/>
        <w:rPr>
          <w:rtl/>
        </w:rPr>
      </w:pPr>
      <w:r>
        <w:rPr>
          <w:rFonts w:hint="cs"/>
          <w:rtl/>
        </w:rPr>
        <w:t>15.</w:t>
      </w:r>
      <w:r>
        <w:rPr>
          <w:rFonts w:hint="cs"/>
          <w:rtl/>
        </w:rPr>
        <w:tab/>
        <w:t xml:space="preserve">לאחר שבחנתי את טענות הצדדים והראיות שהציגו, ובשים לב לקביעותיו של בית המשפט העליון בעניין </w:t>
      </w:r>
      <w:r w:rsidRPr="008F5BFB">
        <w:rPr>
          <w:rFonts w:ascii="Miriam" w:hAnsi="Miriam" w:cs="Miriam"/>
          <w:sz w:val="24"/>
          <w:szCs w:val="24"/>
          <w:rtl/>
        </w:rPr>
        <w:t>פלונים</w:t>
      </w:r>
      <w:r>
        <w:rPr>
          <w:rFonts w:hint="cs"/>
          <w:rtl/>
        </w:rPr>
        <w:t xml:space="preserve">, הגעתי לכלל מסקנה כי הדין עם התובע וכי הרש"פ כלאה אותו שלא כדין ובניגוד לסמכויותיה. </w:t>
      </w:r>
    </w:p>
    <w:p w:rsidR="0047397E" w:rsidRDefault="0047397E" w:rsidP="0047397E">
      <w:pPr>
        <w:pStyle w:val="Ruller41"/>
        <w:rPr>
          <w:rtl/>
        </w:rPr>
      </w:pPr>
    </w:p>
    <w:p w:rsidR="0047397E" w:rsidRDefault="0047397E" w:rsidP="0047397E">
      <w:pPr>
        <w:pStyle w:val="Ruller41"/>
      </w:pPr>
      <w:r>
        <w:rPr>
          <w:rFonts w:hint="cs"/>
          <w:rtl/>
        </w:rPr>
        <w:t>16.</w:t>
      </w:r>
      <w:r>
        <w:rPr>
          <w:rFonts w:hint="cs"/>
          <w:rtl/>
        </w:rPr>
        <w:tab/>
        <w:t xml:space="preserve">כפי שנקבע בעניין </w:t>
      </w:r>
      <w:r w:rsidRPr="00A064FB">
        <w:rPr>
          <w:rFonts w:ascii="Miriam" w:hAnsi="Miriam" w:cs="Miriam"/>
          <w:sz w:val="24"/>
          <w:szCs w:val="24"/>
          <w:rtl/>
        </w:rPr>
        <w:t>פלונים</w:t>
      </w:r>
      <w:r>
        <w:rPr>
          <w:rFonts w:hint="cs"/>
          <w:rtl/>
        </w:rPr>
        <w:t xml:space="preserve"> "</w:t>
      </w:r>
      <w:r w:rsidRPr="008F5BFB">
        <w:rPr>
          <w:rFonts w:ascii="Miriam" w:hAnsi="Miriam" w:cs="Miriam"/>
          <w:sz w:val="24"/>
          <w:szCs w:val="24"/>
          <w:rtl/>
        </w:rPr>
        <w:t>הנטל על הרש"פ להוכיח מה הי</w:t>
      </w:r>
      <w:r>
        <w:rPr>
          <w:rFonts w:ascii="Miriam" w:hAnsi="Miriam" w:cs="Miriam" w:hint="cs"/>
          <w:sz w:val="24"/>
          <w:szCs w:val="24"/>
          <w:rtl/>
        </w:rPr>
        <w:t>י</w:t>
      </w:r>
      <w:r w:rsidRPr="008F5BFB">
        <w:rPr>
          <w:rFonts w:ascii="Miriam" w:hAnsi="Miriam" w:cs="Miriam"/>
          <w:sz w:val="24"/>
          <w:szCs w:val="24"/>
          <w:rtl/>
        </w:rPr>
        <w:t>תה עיל</w:t>
      </w:r>
      <w:r>
        <w:rPr>
          <w:rFonts w:ascii="Miriam" w:hAnsi="Miriam" w:cs="Miriam" w:hint="cs"/>
          <w:sz w:val="24"/>
          <w:szCs w:val="24"/>
          <w:rtl/>
        </w:rPr>
        <w:t>ת</w:t>
      </w:r>
      <w:r w:rsidRPr="008F5BFB">
        <w:rPr>
          <w:rFonts w:ascii="Miriam" w:hAnsi="Miriam" w:cs="Miriam"/>
          <w:sz w:val="24"/>
          <w:szCs w:val="24"/>
          <w:rtl/>
        </w:rPr>
        <w:t xml:space="preserve"> המעצר</w:t>
      </w:r>
      <w:r>
        <w:rPr>
          <w:rFonts w:hint="cs"/>
          <w:rtl/>
        </w:rPr>
        <w:t xml:space="preserve">" (שם, פסקה 18). במקרה דנן, ובשונה מהמצב בעניין </w:t>
      </w:r>
      <w:r w:rsidRPr="0039326B">
        <w:rPr>
          <w:rFonts w:ascii="Miriam" w:hAnsi="Miriam" w:cs="Miriam"/>
          <w:sz w:val="24"/>
          <w:szCs w:val="24"/>
          <w:rtl/>
        </w:rPr>
        <w:t>פלונים</w:t>
      </w:r>
      <w:r>
        <w:rPr>
          <w:rFonts w:hint="cs"/>
          <w:rtl/>
        </w:rPr>
        <w:t xml:space="preserve">, שם הרש"פ לא הציגה ראיות לעניין עילה המעצר (עניין </w:t>
      </w:r>
      <w:r w:rsidRPr="006E1E40">
        <w:rPr>
          <w:rFonts w:ascii="Miriam" w:hAnsi="Miriam" w:cs="Miriam"/>
          <w:sz w:val="24"/>
          <w:szCs w:val="24"/>
          <w:rtl/>
        </w:rPr>
        <w:t>פלונים</w:t>
      </w:r>
      <w:r>
        <w:rPr>
          <w:rFonts w:hint="cs"/>
          <w:rtl/>
        </w:rPr>
        <w:t xml:space="preserve">, פסקה 17) במקרה דנן הרש"פ הגישה את צווי המעצר, הפרוטוקולים של החקירות והדיונים בעניינו של התובע וכן את כתב האישום וההרשעה. למרות האמור, ומן הטעמים שיפורטו להלן, איני סבורה שעלה בידי הרש"פ להוכיח שעילת המעצר לא הייתה קשורה בשיתוף פעולה בטחוני עם ישראל. כפועל יוצא הרש"פ לא הייתה מוסמכת לעצור ולכלוא את התובע. </w:t>
      </w:r>
    </w:p>
    <w:p w:rsidR="0047397E" w:rsidRPr="00FA0888" w:rsidRDefault="0047397E" w:rsidP="0047397E">
      <w:pPr>
        <w:pStyle w:val="Ruller41"/>
        <w:rPr>
          <w:sz w:val="14"/>
          <w:szCs w:val="20"/>
          <w:rtl/>
        </w:rPr>
      </w:pPr>
    </w:p>
    <w:p w:rsidR="0047397E" w:rsidRDefault="0047397E" w:rsidP="0047397E">
      <w:pPr>
        <w:pStyle w:val="Ruller41"/>
        <w:rPr>
          <w:rtl/>
        </w:rPr>
      </w:pPr>
      <w:r>
        <w:rPr>
          <w:rFonts w:hint="cs"/>
          <w:rtl/>
        </w:rPr>
        <w:t xml:space="preserve">להלן נימוקיי.    </w:t>
      </w:r>
    </w:p>
    <w:p w:rsidR="0047397E" w:rsidRDefault="0047397E" w:rsidP="0047397E">
      <w:pPr>
        <w:pStyle w:val="Ruller41"/>
        <w:rPr>
          <w:rtl/>
        </w:rPr>
      </w:pPr>
    </w:p>
    <w:p w:rsidR="0047397E" w:rsidRDefault="0047397E" w:rsidP="0047397E">
      <w:pPr>
        <w:pStyle w:val="Ruller41"/>
        <w:rPr>
          <w:rtl/>
        </w:rPr>
      </w:pPr>
      <w:r>
        <w:rPr>
          <w:rFonts w:hint="cs"/>
          <w:rtl/>
        </w:rPr>
        <w:t>17.</w:t>
      </w:r>
      <w:r>
        <w:rPr>
          <w:rFonts w:hint="cs"/>
          <w:rtl/>
        </w:rPr>
        <w:tab/>
        <w:t>בצו המעצר הראשון מיום 21.4.2008 צויין כי עילת המצער היא "</w:t>
      </w:r>
      <w:r w:rsidRPr="008F5BFB">
        <w:rPr>
          <w:rFonts w:ascii="Miriam" w:hAnsi="Miriam" w:cs="Miriam"/>
          <w:sz w:val="24"/>
          <w:szCs w:val="24"/>
          <w:rtl/>
        </w:rPr>
        <w:t>בגידה בניגוד להוראות החוק</w:t>
      </w:r>
      <w:r>
        <w:rPr>
          <w:rFonts w:hint="cs"/>
          <w:rtl/>
        </w:rPr>
        <w:t xml:space="preserve">". (עמ' 11 לראיות הנתבעת). </w:t>
      </w:r>
    </w:p>
    <w:p w:rsidR="0047397E" w:rsidRDefault="0047397E" w:rsidP="0047397E">
      <w:pPr>
        <w:pStyle w:val="Ruller41"/>
        <w:rPr>
          <w:rtl/>
        </w:rPr>
      </w:pPr>
    </w:p>
    <w:p w:rsidR="0047397E" w:rsidRDefault="0047397E" w:rsidP="0047397E">
      <w:pPr>
        <w:pStyle w:val="Ruller41"/>
        <w:rPr>
          <w:rtl/>
        </w:rPr>
      </w:pPr>
      <w:r>
        <w:rPr>
          <w:rFonts w:hint="cs"/>
          <w:rtl/>
        </w:rPr>
        <w:lastRenderedPageBreak/>
        <w:t>18.</w:t>
      </w:r>
      <w:r>
        <w:rPr>
          <w:rFonts w:hint="cs"/>
          <w:rtl/>
        </w:rPr>
        <w:tab/>
        <w:t>בצו המעצר השני מיום 5.5.2008 צויין שוב כי עילת המעצר היא "</w:t>
      </w:r>
      <w:r w:rsidRPr="0039326B">
        <w:rPr>
          <w:rFonts w:ascii="Miriam" w:hAnsi="Miriam" w:cs="Miriam"/>
          <w:sz w:val="24"/>
          <w:szCs w:val="24"/>
          <w:rtl/>
        </w:rPr>
        <w:t>בגידה בניגוד להוראות החוק</w:t>
      </w:r>
      <w:r>
        <w:rPr>
          <w:rFonts w:hint="cs"/>
          <w:rtl/>
        </w:rPr>
        <w:t xml:space="preserve">" (עמ' 13 לראיות הנתבעת). </w:t>
      </w:r>
    </w:p>
    <w:p w:rsidR="0047397E" w:rsidRDefault="0047397E" w:rsidP="0047397E">
      <w:pPr>
        <w:pStyle w:val="Ruller41"/>
        <w:rPr>
          <w:rtl/>
        </w:rPr>
      </w:pPr>
    </w:p>
    <w:p w:rsidR="0047397E" w:rsidRDefault="0047397E" w:rsidP="0047397E">
      <w:pPr>
        <w:pStyle w:val="Ruller41"/>
        <w:rPr>
          <w:rtl/>
        </w:rPr>
      </w:pPr>
      <w:r>
        <w:rPr>
          <w:rFonts w:hint="cs"/>
          <w:rtl/>
        </w:rPr>
        <w:t>19.</w:t>
      </w:r>
      <w:r>
        <w:rPr>
          <w:rFonts w:hint="cs"/>
          <w:rtl/>
        </w:rPr>
        <w:tab/>
        <w:t xml:space="preserve">בהודעה למודיעין הפלסטיני מיום 6.5.2008 מתואר שהתובע סיפר שבשנת 2004 קצין משטרה ישראלי הציע לו הקלה בקבלת רישיון כניסה לישראל תמורת מסירת ידיעות בנושא נשק וגניבת מכוניות וגדרות תיל, ולמרות שהוא הסכים לכך, הוא לא מסר שום ידיעה לקצין המשטרה הישראלי, וכי רק בשנת 2007 מסר ידיעה בודדת בקשר לנשק שהוחזק על ידי אדם בשם איימן וכי לא מסר יותר ידיעות והוא מצטער על קשריו עם הישראלים (עמ' 16-15 לראיות הנתבעת). </w:t>
      </w:r>
    </w:p>
    <w:p w:rsidR="0047397E" w:rsidRDefault="0047397E" w:rsidP="0047397E">
      <w:pPr>
        <w:pStyle w:val="Ruller41"/>
        <w:rPr>
          <w:rtl/>
        </w:rPr>
      </w:pPr>
    </w:p>
    <w:p w:rsidR="0047397E" w:rsidRDefault="0047397E" w:rsidP="0047397E">
      <w:pPr>
        <w:pStyle w:val="Ruller41"/>
        <w:rPr>
          <w:rtl/>
        </w:rPr>
      </w:pPr>
      <w:r>
        <w:rPr>
          <w:rFonts w:hint="cs"/>
          <w:rtl/>
        </w:rPr>
        <w:t>20.</w:t>
      </w:r>
      <w:r>
        <w:rPr>
          <w:rFonts w:hint="cs"/>
          <w:rtl/>
        </w:rPr>
        <w:tab/>
        <w:t>בצו המעצר השלישי מיום 20.5.2008  צויין שוב כי התובע נעצר בחשד לבגידה (עמ' 19 לראיות הנתבעת).</w:t>
      </w:r>
    </w:p>
    <w:p w:rsidR="0047397E" w:rsidRDefault="0047397E" w:rsidP="0047397E">
      <w:pPr>
        <w:pStyle w:val="Ruller41"/>
        <w:rPr>
          <w:rtl/>
        </w:rPr>
      </w:pPr>
    </w:p>
    <w:p w:rsidR="0047397E" w:rsidRDefault="0047397E" w:rsidP="0047397E">
      <w:pPr>
        <w:pStyle w:val="Ruller41"/>
      </w:pPr>
      <w:r>
        <w:rPr>
          <w:rFonts w:hint="cs"/>
          <w:rtl/>
        </w:rPr>
        <w:t>21.</w:t>
      </w:r>
      <w:r>
        <w:rPr>
          <w:rFonts w:hint="cs"/>
          <w:rtl/>
        </w:rPr>
        <w:tab/>
        <w:t xml:space="preserve">במכתב מאת ראש הלשכה המשפטית של המודיעין הפלסטיני מיום 1.6.2008 צויין כדלקמן: </w:t>
      </w:r>
    </w:p>
    <w:p w:rsidR="0047397E" w:rsidRDefault="0047397E" w:rsidP="0047397E">
      <w:pPr>
        <w:pStyle w:val="Ruller41"/>
        <w:spacing w:line="276" w:lineRule="auto"/>
        <w:ind w:left="753" w:right="993" w:hanging="284"/>
        <w:rPr>
          <w:rtl/>
        </w:rPr>
      </w:pPr>
      <w:r>
        <w:rPr>
          <w:rFonts w:hint="cs"/>
          <w:rtl/>
        </w:rPr>
        <w:t xml:space="preserve">  "1. הנ"ל נעצר על ידינו בתאריך 20.4.2008 ומעצרו הוארך על פי החלטת ראש השיפוט הצבאי וזאת בגלל חשד שהיה מעורב בפעולות שעניינן פגיעה בביטחון הכללי והמשטר וקשריו עם תנועת חמאס, ואחזקת נשק המהווים איום וסכנה לסדר הציבורי.</w:t>
      </w:r>
    </w:p>
    <w:p w:rsidR="0047397E" w:rsidRDefault="0047397E" w:rsidP="0047397E">
      <w:pPr>
        <w:pStyle w:val="Ruller41"/>
        <w:tabs>
          <w:tab w:val="clear" w:pos="800"/>
          <w:tab w:val="left" w:pos="753"/>
        </w:tabs>
        <w:spacing w:line="276" w:lineRule="auto"/>
        <w:ind w:left="753" w:right="993"/>
        <w:rPr>
          <w:rtl/>
        </w:rPr>
      </w:pPr>
      <w:r>
        <w:rPr>
          <w:rFonts w:hint="cs"/>
          <w:rtl/>
        </w:rPr>
        <w:t>2. בחקירת החשוד על ידינו:</w:t>
      </w:r>
    </w:p>
    <w:p w:rsidR="0047397E" w:rsidRDefault="0047397E" w:rsidP="0047397E">
      <w:pPr>
        <w:pStyle w:val="Ruller41"/>
        <w:spacing w:line="276" w:lineRule="auto"/>
        <w:ind w:left="753" w:right="993"/>
        <w:rPr>
          <w:rtl/>
        </w:rPr>
      </w:pPr>
      <w:r>
        <w:rPr>
          <w:rFonts w:hint="cs"/>
          <w:rtl/>
        </w:rPr>
        <w:t>א. הכחיש את קשריו עם תנועת חמאס והזרוע הצבאית שלה.</w:t>
      </w:r>
    </w:p>
    <w:p w:rsidR="0047397E" w:rsidRDefault="0047397E" w:rsidP="0047397E">
      <w:pPr>
        <w:pStyle w:val="Ruller41"/>
        <w:spacing w:line="276" w:lineRule="auto"/>
        <w:ind w:left="753" w:right="993"/>
        <w:rPr>
          <w:rtl/>
        </w:rPr>
      </w:pPr>
      <w:r>
        <w:rPr>
          <w:rFonts w:hint="cs"/>
          <w:rtl/>
        </w:rPr>
        <w:t>ב. הודה בהחזקת אקדח 14 מ"מ מסר אותו לידינו הוא הוחרם.</w:t>
      </w:r>
    </w:p>
    <w:p w:rsidR="0047397E" w:rsidRDefault="0047397E" w:rsidP="0047397E">
      <w:pPr>
        <w:pStyle w:val="Ruller41"/>
        <w:spacing w:line="276" w:lineRule="auto"/>
        <w:ind w:left="753" w:right="993"/>
        <w:rPr>
          <w:rtl/>
        </w:rPr>
      </w:pPr>
      <w:r>
        <w:rPr>
          <w:rFonts w:hint="cs"/>
          <w:rtl/>
        </w:rPr>
        <w:t xml:space="preserve">ג. הנ"ל הודה בקשריו עם המודיעין הישראלי והעברת ידיעות אליו [יכול להיות גם ריגול]." (עמ' 21 לראיות הנתבעת). </w:t>
      </w:r>
    </w:p>
    <w:p w:rsidR="0047397E" w:rsidRDefault="0047397E" w:rsidP="0047397E">
      <w:pPr>
        <w:pStyle w:val="Ruller41"/>
        <w:spacing w:line="276" w:lineRule="auto"/>
        <w:ind w:right="993"/>
        <w:rPr>
          <w:rtl/>
        </w:rPr>
      </w:pPr>
    </w:p>
    <w:p w:rsidR="0047397E" w:rsidRDefault="0047397E" w:rsidP="0047397E">
      <w:pPr>
        <w:pStyle w:val="Ruller41"/>
        <w:rPr>
          <w:rtl/>
        </w:rPr>
      </w:pPr>
      <w:r>
        <w:rPr>
          <w:rFonts w:hint="cs"/>
          <w:rtl/>
        </w:rPr>
        <w:t>22.</w:t>
      </w:r>
      <w:r>
        <w:rPr>
          <w:rFonts w:hint="cs"/>
          <w:rtl/>
        </w:rPr>
        <w:tab/>
        <w:t>ביום 3.6.2008 התבקשה הארכת מעצר ל - 15 ימים נוספים בחשד ל "</w:t>
      </w:r>
      <w:r w:rsidRPr="008F5BFB">
        <w:rPr>
          <w:rFonts w:ascii="Miriam" w:hAnsi="Miriam" w:cs="Miriam"/>
          <w:sz w:val="24"/>
          <w:szCs w:val="24"/>
          <w:rtl/>
        </w:rPr>
        <w:t>בגידה בניגוד להוראת סעיף 131 של חוק העונשין הצבאי הפלסטיני לשנת 1976</w:t>
      </w:r>
      <w:r>
        <w:rPr>
          <w:rFonts w:hint="cs"/>
          <w:rtl/>
        </w:rPr>
        <w:t>" (עמ' 24 לראיות הנתבעת) ובאותו היום נרשמה הודעה שנמסרה מאת התובע בעת חקירתו ונכתב כך: "</w:t>
      </w:r>
      <w:r w:rsidRPr="008F5BFB">
        <w:rPr>
          <w:rFonts w:ascii="Miriam" w:hAnsi="Miriam" w:cs="Miriam"/>
          <w:sz w:val="24"/>
          <w:szCs w:val="24"/>
          <w:rtl/>
        </w:rPr>
        <w:t xml:space="preserve">שאלנו אותו על מעורבותו עם הכיבוש הישראלי והוא ענה: אני זוכר שאני עבדתי בירושלים בסוף שנת 2004 כאשר נעצרתי על ידי המשטרה הישראלית...והוא [הקצין הישראלי] הציע לי לעבוד אתו ואני הסכמתי...הוא ביקש ממני שאעקוב אחרי </w:t>
      </w:r>
      <w:r w:rsidRPr="008F5BFB">
        <w:rPr>
          <w:rFonts w:ascii="Miriam" w:hAnsi="Miriam" w:cs="Miriam"/>
          <w:sz w:val="24"/>
          <w:szCs w:val="24"/>
          <w:rtl/>
        </w:rPr>
        <w:lastRenderedPageBreak/>
        <w:t>מי שמציג לראווה נשק או גונב אותו</w:t>
      </w:r>
      <w:r>
        <w:rPr>
          <w:rFonts w:hint="cs"/>
          <w:rtl/>
        </w:rPr>
        <w:t>..." (עמ' 27 לראיות הנתבעת), בהמשך מתואר בהודעה הנ"ל שהתובע מסר מספר ידיעות אודות גניבת פלאפונים והחזקת נשק על ידי תושבי הרש"פ (עמ' 29  לראיות הנתבעת) וכן שהודה בהחזקת נשק (עמ' 31 לראיות הנתבעת).</w:t>
      </w:r>
    </w:p>
    <w:p w:rsidR="0047397E" w:rsidRDefault="0047397E" w:rsidP="0047397E">
      <w:pPr>
        <w:pStyle w:val="Ruller41"/>
        <w:spacing w:line="276" w:lineRule="auto"/>
        <w:rPr>
          <w:rtl/>
        </w:rPr>
      </w:pPr>
    </w:p>
    <w:p w:rsidR="0047397E" w:rsidRDefault="0047397E" w:rsidP="0047397E">
      <w:pPr>
        <w:pStyle w:val="Ruller41"/>
        <w:rPr>
          <w:rtl/>
        </w:rPr>
      </w:pPr>
      <w:r>
        <w:rPr>
          <w:rFonts w:hint="cs"/>
          <w:rtl/>
        </w:rPr>
        <w:t>23.</w:t>
      </w:r>
      <w:r>
        <w:rPr>
          <w:rFonts w:hint="cs"/>
          <w:rtl/>
        </w:rPr>
        <w:tab/>
        <w:t xml:space="preserve">בסופו של יום כתב האישום ייחס לתובע עבירה לפי סעיף 131 לחוק העונשין הפלסטיני והתובע הורשע בעבירה זו.  </w:t>
      </w:r>
    </w:p>
    <w:p w:rsidR="0047397E" w:rsidRDefault="0047397E" w:rsidP="0047397E">
      <w:pPr>
        <w:pStyle w:val="Ruller41"/>
        <w:rPr>
          <w:rtl/>
        </w:rPr>
      </w:pPr>
    </w:p>
    <w:p w:rsidR="0047397E" w:rsidRDefault="0047397E" w:rsidP="0047397E">
      <w:pPr>
        <w:pStyle w:val="Ruller41"/>
        <w:rPr>
          <w:rtl/>
        </w:rPr>
      </w:pPr>
      <w:r>
        <w:rPr>
          <w:rFonts w:hint="cs"/>
          <w:rtl/>
        </w:rPr>
        <w:t>24.</w:t>
      </w:r>
      <w:r>
        <w:rPr>
          <w:rFonts w:hint="cs"/>
          <w:rtl/>
        </w:rPr>
        <w:tab/>
        <w:t>יצויין כי הסניגור בטיעוניו בפני בית המשפט הפלסטיני טען שהמתואר בכתב האישום "</w:t>
      </w:r>
      <w:r w:rsidRPr="00E05459">
        <w:rPr>
          <w:rFonts w:ascii="Miriam" w:hAnsi="Miriam" w:cs="Miriam"/>
          <w:sz w:val="24"/>
          <w:szCs w:val="24"/>
          <w:rtl/>
        </w:rPr>
        <w:t>אינו מגיע לדרגת בגידה במהפכה וברשות הפלסטינית והוא מהווה פשע אזרחי ולא בטחוני</w:t>
      </w:r>
      <w:r>
        <w:rPr>
          <w:rFonts w:hint="cs"/>
          <w:rtl/>
        </w:rPr>
        <w:t>"</w:t>
      </w:r>
      <w:r w:rsidRPr="00B22F98">
        <w:rPr>
          <w:rFonts w:hint="cs"/>
          <w:rtl/>
        </w:rPr>
        <w:t xml:space="preserve"> </w:t>
      </w:r>
      <w:r>
        <w:rPr>
          <w:rFonts w:hint="cs"/>
          <w:rtl/>
        </w:rPr>
        <w:t>(עמ' 70 להודעה על השלמת הראיות של התובע) וכי "</w:t>
      </w:r>
      <w:r w:rsidRPr="00E05459">
        <w:rPr>
          <w:rFonts w:ascii="Miriam" w:hAnsi="Miriam" w:cs="Miriam"/>
          <w:sz w:val="24"/>
          <w:szCs w:val="24"/>
          <w:rtl/>
        </w:rPr>
        <w:t>תוכן כתב האישום אינו תואם את הוראות סעיף 131</w:t>
      </w:r>
      <w:r>
        <w:rPr>
          <w:rFonts w:hint="cs"/>
          <w:rtl/>
        </w:rPr>
        <w:t xml:space="preserve">" (עמ' 71 להודעה על השלמת הראיות של התובע) ואולם בית המשפט לא קיבל את הטענה והרשיע את התובע בעבירה לפי סעיף 131 לחוק העונשין הפלסטיני. </w:t>
      </w:r>
    </w:p>
    <w:p w:rsidR="0047397E" w:rsidRDefault="0047397E" w:rsidP="0047397E">
      <w:pPr>
        <w:pStyle w:val="Ruller41"/>
        <w:rPr>
          <w:rtl/>
        </w:rPr>
      </w:pPr>
    </w:p>
    <w:p w:rsidR="0047397E" w:rsidRDefault="0047397E" w:rsidP="0047397E">
      <w:pPr>
        <w:pStyle w:val="Ruller41"/>
        <w:rPr>
          <w:rtl/>
        </w:rPr>
      </w:pPr>
      <w:r>
        <w:rPr>
          <w:rFonts w:hint="cs"/>
          <w:rtl/>
        </w:rPr>
        <w:t>25.</w:t>
      </w:r>
      <w:r>
        <w:rPr>
          <w:rFonts w:hint="cs"/>
          <w:rtl/>
        </w:rPr>
        <w:tab/>
        <w:t>בהכרעת הדין מיום 5.11.2008 נקבעו כממצאים עובדתיים העובדות הבאות (להלן ציטוט מלא של הממצאים העובדתיים שנקבעו בהכרעת הדין): "</w:t>
      </w:r>
      <w:r w:rsidRPr="009B1D9E">
        <w:rPr>
          <w:rFonts w:ascii="Miriam" w:hAnsi="Miriam" w:cs="Miriam"/>
          <w:sz w:val="24"/>
          <w:szCs w:val="24"/>
          <w:rtl/>
        </w:rPr>
        <w:t>בסוף שנת 2004 נתפס הנאשם הנ"ל כשהוא עובד בתוך ישראל ללא רישיון ומכאן נקבעה לו פגישה עם קצין מודיעין ישראלי אשר הציע לו לעבוד א</w:t>
      </w:r>
      <w:r>
        <w:rPr>
          <w:rFonts w:ascii="Miriam" w:hAnsi="Miriam" w:cs="Miriam" w:hint="cs"/>
          <w:sz w:val="24"/>
          <w:szCs w:val="24"/>
          <w:rtl/>
        </w:rPr>
        <w:t>י</w:t>
      </w:r>
      <w:r w:rsidRPr="009B1D9E">
        <w:rPr>
          <w:rFonts w:ascii="Miriam" w:hAnsi="Miriam" w:cs="Miriam"/>
          <w:sz w:val="24"/>
          <w:szCs w:val="24"/>
          <w:rtl/>
        </w:rPr>
        <w:t>תו ולספק לו ידיעות. הנאשם הסכים מצדו לכך ודיווח לו על כמה אזרחים אשר ברשותם נשק וכן דיווח על כאלה הגונבים טלפונים מתוך הקו הירוק</w:t>
      </w:r>
      <w:r>
        <w:rPr>
          <w:rFonts w:hint="cs"/>
          <w:rtl/>
        </w:rPr>
        <w:t xml:space="preserve">". בגין עובדות אלו (וללא כל התייחסות להחזקת נשק על ידי התובע או שיתוף פעולה עם החמס), הורשע התובע בבגידה לפי סעיף 131 לחוק העונשין הפלסטיני (עמ' 80 לראיות הנתבעת). </w:t>
      </w:r>
    </w:p>
    <w:p w:rsidR="0047397E" w:rsidRDefault="0047397E" w:rsidP="0047397E">
      <w:pPr>
        <w:pStyle w:val="Ruller41"/>
        <w:rPr>
          <w:rtl/>
        </w:rPr>
      </w:pPr>
    </w:p>
    <w:p w:rsidR="0047397E" w:rsidRDefault="0047397E" w:rsidP="0047397E">
      <w:pPr>
        <w:pStyle w:val="Ruller41"/>
        <w:rPr>
          <w:rtl/>
        </w:rPr>
      </w:pPr>
      <w:r>
        <w:rPr>
          <w:rFonts w:hint="cs"/>
          <w:rtl/>
        </w:rPr>
        <w:t>26.</w:t>
      </w:r>
      <w:r>
        <w:rPr>
          <w:rFonts w:hint="cs"/>
          <w:rtl/>
        </w:rPr>
        <w:tab/>
        <w:t>עוד באותו היום, נגזר דינו של התובע ונקבע שאף שלפי סעיף 131 לחוק העונשין הפלסטיני יש לגזור על התובע גזר דין מוות הרי ש"</w:t>
      </w:r>
      <w:r w:rsidRPr="002766B8">
        <w:rPr>
          <w:rFonts w:ascii="Miriam" w:hAnsi="Miriam" w:cs="Miriam"/>
          <w:sz w:val="24"/>
          <w:szCs w:val="24"/>
          <w:rtl/>
        </w:rPr>
        <w:t>בהתחשב בנסיבות מקלות ובהסתמך על הנאמר בסעיף 118 פסקה א' של אותו החוק, החליט בית המשפט להפחית את העונש למאסר 7 שנ</w:t>
      </w:r>
      <w:r>
        <w:rPr>
          <w:rFonts w:ascii="Miriam" w:hAnsi="Miriam" w:cs="Miriam" w:hint="cs"/>
          <w:sz w:val="24"/>
          <w:szCs w:val="24"/>
          <w:rtl/>
        </w:rPr>
        <w:t>י</w:t>
      </w:r>
      <w:r w:rsidRPr="002766B8">
        <w:rPr>
          <w:rFonts w:ascii="Miriam" w:hAnsi="Miriam" w:cs="Miriam"/>
          <w:sz w:val="24"/>
          <w:szCs w:val="24"/>
          <w:rtl/>
        </w:rPr>
        <w:t>ם ועבודת פרך</w:t>
      </w:r>
      <w:r>
        <w:rPr>
          <w:rFonts w:hint="cs"/>
          <w:rtl/>
        </w:rPr>
        <w:t xml:space="preserve">" (עמ' 83 לראיות הנתבעת).  יוער כי סעיף 118 לחוק העונשין הפלסטיני מסמיך את בית המשפט להפחית מעונש הקבוע בחוק </w:t>
      </w:r>
      <w:r>
        <w:rPr>
          <w:rFonts w:hint="cs"/>
          <w:rtl/>
        </w:rPr>
        <w:lastRenderedPageBreak/>
        <w:t>במקרה שקיימות נסיבות מקלות (עמ' 120 לראיות הנתבעת) ואולם לא פורטו הנסיבות המקלות שבזכותן ניצל התובע מעונש מוות. כן יצויין כי ביום 13.11.2008, התובע הגיש ערעור על פסק הדין ובמסגרתו טען בין היתר כי הרשעתו במסירת מידע אודות גניבת פלאפונים והחזקת נשק "</w:t>
      </w:r>
      <w:r w:rsidRPr="002766B8">
        <w:rPr>
          <w:rFonts w:ascii="Miriam" w:hAnsi="Miriam" w:cs="Miriam"/>
          <w:sz w:val="24"/>
          <w:szCs w:val="24"/>
          <w:rtl/>
        </w:rPr>
        <w:t>הם עבירות אזרחיות שאין להן שום קשר לביטחון המהפכה ולא לפעולות מלחמתיות ואינן פעולות עוינות נגד המהפכה, דבר השולל את יישום הוראות סעיף 131 על אירועים אלו</w:t>
      </w:r>
      <w:r>
        <w:rPr>
          <w:rFonts w:hint="cs"/>
          <w:rtl/>
        </w:rPr>
        <w:t xml:space="preserve">" (עמ' 90 לראיות הנתבעת). הצדדים לא הגישו את פסק הדין בערעור ואולם בשים לב לכך שבסופו של יום התובע ריצה 7 שנות מאסר כפי שקבעה הערכאה הדיונית, יש להניח שהערעור נדחה ושהטענות שלא מדובר בעבירות אזרחיות לא התקבלה. </w:t>
      </w:r>
    </w:p>
    <w:p w:rsidR="0047397E" w:rsidRDefault="0047397E" w:rsidP="0047397E">
      <w:pPr>
        <w:pStyle w:val="Ruller41"/>
        <w:rPr>
          <w:rtl/>
        </w:rPr>
      </w:pPr>
    </w:p>
    <w:p w:rsidR="0047397E" w:rsidRDefault="0047397E" w:rsidP="0047397E">
      <w:pPr>
        <w:pStyle w:val="Ruller41"/>
        <w:rPr>
          <w:rFonts w:ascii="Miriam" w:hAnsi="Miriam" w:cs="Miriam"/>
          <w:sz w:val="24"/>
          <w:szCs w:val="24"/>
          <w:rtl/>
        </w:rPr>
      </w:pPr>
      <w:r>
        <w:rPr>
          <w:rFonts w:hint="cs"/>
          <w:rtl/>
        </w:rPr>
        <w:t>27.</w:t>
      </w:r>
      <w:r>
        <w:rPr>
          <w:rFonts w:hint="cs"/>
          <w:rtl/>
        </w:rPr>
        <w:tab/>
        <w:t>המסקנה העולה מכל האמור היא שהתובע נעצר תחילה, ביום 21.4.2008 בחשד לשיתוף פעולה עם חמס ואחזקת נשק, ולא בחשד לשיתוף פעולה עם ישראל. ויודגש, הגם שבצו המעצר מיום 21.4.2008 צויין שהמעצר הוא בשל "בגידה" הרי שכפי שצויין בפסקה 17 בעניין פלונים, "</w:t>
      </w:r>
      <w:r w:rsidRPr="00E5484D">
        <w:rPr>
          <w:rFonts w:ascii="Miriam" w:hAnsi="Miriam" w:cs="Miriam"/>
          <w:sz w:val="24"/>
          <w:szCs w:val="24"/>
          <w:rtl/>
        </w:rPr>
        <w:t>רשאית הרש"פ לפעול כנגד מי שנחשד בריגול לטובת מדינה או ארגון אחר כמו החמאס.."</w:t>
      </w:r>
      <w:r>
        <w:rPr>
          <w:rFonts w:ascii="Miriam" w:hAnsi="Miriam" w:cs="Miriam" w:hint="cs"/>
          <w:sz w:val="24"/>
          <w:szCs w:val="24"/>
          <w:rtl/>
        </w:rPr>
        <w:t xml:space="preserve">. </w:t>
      </w:r>
      <w:r>
        <w:rPr>
          <w:rFonts w:ascii="FrankRuehl" w:hAnsi="FrankRuehl" w:hint="cs"/>
          <w:sz w:val="28"/>
          <w:rtl/>
        </w:rPr>
        <w:t xml:space="preserve">אשר לחשד בעניין החזקת נשק, כפי שנקבע בעניינו של תובע מס' 9 בעניין </w:t>
      </w:r>
      <w:r w:rsidRPr="00E5484D">
        <w:rPr>
          <w:rFonts w:ascii="Miriam" w:hAnsi="Miriam" w:cs="Miriam"/>
          <w:sz w:val="24"/>
          <w:szCs w:val="24"/>
          <w:rtl/>
        </w:rPr>
        <w:t>פלונים</w:t>
      </w:r>
      <w:r>
        <w:rPr>
          <w:rFonts w:ascii="FrankRuehl" w:hAnsi="FrankRuehl" w:hint="cs"/>
          <w:sz w:val="28"/>
          <w:rtl/>
        </w:rPr>
        <w:t xml:space="preserve">, מדובר בעילת מעצר פלילית ולא ביטחונית והרש"פ רשאית לעצור בגין כך (עניין </w:t>
      </w:r>
      <w:r w:rsidRPr="00E5484D">
        <w:rPr>
          <w:rFonts w:ascii="Miriam" w:hAnsi="Miriam" w:cs="Miriam"/>
          <w:sz w:val="24"/>
          <w:szCs w:val="24"/>
          <w:rtl/>
        </w:rPr>
        <w:t>פלונים</w:t>
      </w:r>
      <w:r>
        <w:rPr>
          <w:rFonts w:ascii="FrankRuehl" w:hAnsi="FrankRuehl" w:hint="cs"/>
          <w:sz w:val="28"/>
          <w:rtl/>
        </w:rPr>
        <w:t xml:space="preserve">, פסקה 27). </w:t>
      </w:r>
    </w:p>
    <w:p w:rsidR="0047397E" w:rsidRDefault="0047397E" w:rsidP="0047397E">
      <w:pPr>
        <w:pStyle w:val="Ruller41"/>
        <w:rPr>
          <w:rFonts w:ascii="Miriam" w:hAnsi="Miriam" w:cs="Miriam"/>
          <w:sz w:val="24"/>
          <w:szCs w:val="24"/>
          <w:rtl/>
        </w:rPr>
      </w:pPr>
    </w:p>
    <w:p w:rsidR="0047397E" w:rsidRDefault="0047397E" w:rsidP="0047397E">
      <w:pPr>
        <w:pStyle w:val="Ruller41"/>
        <w:rPr>
          <w:rFonts w:ascii="FrankRuehl" w:hAnsi="FrankRuehl"/>
          <w:sz w:val="28"/>
          <w:rtl/>
        </w:rPr>
      </w:pPr>
      <w:r>
        <w:rPr>
          <w:rFonts w:ascii="Miriam" w:hAnsi="Miriam" w:cs="Miriam" w:hint="cs"/>
          <w:sz w:val="24"/>
          <w:szCs w:val="24"/>
          <w:rtl/>
        </w:rPr>
        <w:t>28.</w:t>
      </w:r>
      <w:r>
        <w:rPr>
          <w:rFonts w:ascii="Miriam" w:hAnsi="Miriam" w:cs="Miriam" w:hint="cs"/>
          <w:sz w:val="24"/>
          <w:szCs w:val="24"/>
          <w:rtl/>
        </w:rPr>
        <w:tab/>
      </w:r>
      <w:r>
        <w:rPr>
          <w:rFonts w:ascii="FrankRuehl" w:hAnsi="FrankRuehl" w:hint="cs"/>
          <w:sz w:val="28"/>
          <w:rtl/>
        </w:rPr>
        <w:t xml:space="preserve">לכן, אילו העניינים היו מסתיימים כאן והמשך המעצר כמו גם הגשת כתב האישום היו בגין שיתוף פעולה עם החמאס והחזקת נשק, היה מקום לדחות את התביעה משלא הוכח שהמעצר והכליאה נעשו בחוסר סמכות. אלא שכפי שתואר לעיל, מחומר החקירה עולה כי החל מיום 6.5.2008, כשבועיים לאחר תחילת המעצר, התובע מספר לחוקריו, שהוא שיתף פעולה עם ישראל ומאותו המועד המעצר מוסב למעצר בחשד לשיתוף פעולה עם ישראל. השאלה הנשאלת היא האם כל חשד לשיתוף פעולה עם ישראל אינו מקנה סמכות מעצר לרש"פ, או שהדבר תלוי בטיב המעשים שלגביהם נטען לשיתוף פעולה עם ישראל. כפי שצויין לעיל, כב' השופט </w:t>
      </w:r>
      <w:r w:rsidRPr="00FA0888">
        <w:rPr>
          <w:rFonts w:ascii="Miriam" w:hAnsi="Miriam" w:cs="Miriam"/>
          <w:sz w:val="24"/>
          <w:szCs w:val="24"/>
          <w:rtl/>
        </w:rPr>
        <w:t>דרורי</w:t>
      </w:r>
      <w:r>
        <w:rPr>
          <w:rFonts w:ascii="FrankRuehl" w:hAnsi="FrankRuehl" w:hint="cs"/>
          <w:sz w:val="28"/>
          <w:rtl/>
        </w:rPr>
        <w:t xml:space="preserve"> סבור כי במקרה שבו שיתוף הפעולה נוגע לעבירות כלכליות, יש לרש"פ סמכות לעצור את משתף הפעולה וזאת להבדיל ממקרה שבו שיתוף הפעולה נועד לצרכים ביטחוניים כמו סיכול טרור. </w:t>
      </w:r>
    </w:p>
    <w:p w:rsidR="0047397E" w:rsidRDefault="0047397E" w:rsidP="0047397E">
      <w:pPr>
        <w:pStyle w:val="Ruller41"/>
        <w:rPr>
          <w:rFonts w:ascii="FrankRuehl" w:hAnsi="FrankRuehl"/>
          <w:sz w:val="28"/>
          <w:rtl/>
        </w:rPr>
      </w:pPr>
    </w:p>
    <w:p w:rsidR="0047397E" w:rsidRDefault="0047397E" w:rsidP="0047397E">
      <w:pPr>
        <w:pStyle w:val="Ruller41"/>
        <w:rPr>
          <w:rFonts w:ascii="FrankRuehl" w:hAnsi="FrankRuehl"/>
          <w:sz w:val="28"/>
          <w:rtl/>
        </w:rPr>
      </w:pPr>
      <w:r>
        <w:rPr>
          <w:rFonts w:ascii="FrankRuehl" w:hAnsi="FrankRuehl" w:hint="cs"/>
          <w:sz w:val="28"/>
          <w:rtl/>
        </w:rPr>
        <w:lastRenderedPageBreak/>
        <w:t>29.</w:t>
      </w:r>
      <w:r>
        <w:rPr>
          <w:rFonts w:ascii="FrankRuehl" w:hAnsi="FrankRuehl" w:hint="cs"/>
          <w:sz w:val="28"/>
          <w:rtl/>
        </w:rPr>
        <w:tab/>
        <w:t xml:space="preserve">שאלה זו טרם נדונה במפורש על ידי בית המשפט העליון. מן האופן שבו נוסחו הדברים בעניין </w:t>
      </w:r>
      <w:r w:rsidRPr="00DF0248">
        <w:rPr>
          <w:rFonts w:ascii="Miriam" w:hAnsi="Miriam" w:cs="Miriam"/>
          <w:sz w:val="24"/>
          <w:szCs w:val="24"/>
          <w:rtl/>
        </w:rPr>
        <w:t>פלונים</w:t>
      </w:r>
      <w:r>
        <w:rPr>
          <w:rFonts w:ascii="FrankRuehl" w:hAnsi="FrankRuehl" w:hint="cs"/>
          <w:sz w:val="28"/>
          <w:rtl/>
        </w:rPr>
        <w:t xml:space="preserve">, ניתן להבין שהרש"פ אינה מוסמכת לעצור משתף פעולה עם ישראל, בכל עניין הקשור לסדר הציבורי ולא רק לשם סיכול טרור. כך עולה מן הקביעה בעניין </w:t>
      </w:r>
      <w:r w:rsidRPr="00327484">
        <w:rPr>
          <w:rFonts w:ascii="Miriam" w:hAnsi="Miriam" w:cs="Miriam"/>
          <w:sz w:val="24"/>
          <w:szCs w:val="24"/>
          <w:rtl/>
        </w:rPr>
        <w:t>פלונים</w:t>
      </w:r>
      <w:r>
        <w:rPr>
          <w:rFonts w:ascii="FrankRuehl" w:hAnsi="FrankRuehl" w:hint="cs"/>
          <w:sz w:val="28"/>
          <w:rtl/>
        </w:rPr>
        <w:t xml:space="preserve"> לפיה את האחריות של המדינה לתחום הביטחוני "</w:t>
      </w:r>
      <w:r w:rsidRPr="00DF0248">
        <w:rPr>
          <w:rFonts w:ascii="Miriam" w:hAnsi="Miriam" w:cs="Miriam"/>
          <w:sz w:val="24"/>
          <w:szCs w:val="24"/>
          <w:rtl/>
        </w:rPr>
        <w:t>יש לפרש באופן רחב</w:t>
      </w:r>
      <w:r>
        <w:rPr>
          <w:rFonts w:ascii="FrankRuehl" w:hAnsi="FrankRuehl" w:hint="cs"/>
          <w:sz w:val="28"/>
          <w:rtl/>
        </w:rPr>
        <w:t xml:space="preserve">" ומכך שנוכח התכלית שבבסיס הסכמי הביניים </w:t>
      </w:r>
      <w:r>
        <w:rPr>
          <w:rFonts w:ascii="Miriam" w:hAnsi="Miriam" w:cs="Miriam" w:hint="cs"/>
          <w:sz w:val="24"/>
          <w:szCs w:val="24"/>
          <w:rtl/>
        </w:rPr>
        <w:t>"</w:t>
      </w:r>
      <w:r w:rsidRPr="00E5484D">
        <w:rPr>
          <w:rFonts w:ascii="Miriam" w:hAnsi="Miriam" w:cs="Miriam"/>
          <w:sz w:val="24"/>
          <w:szCs w:val="24"/>
          <w:rtl/>
        </w:rPr>
        <w:t xml:space="preserve">ברי כי מדינת ישראל אינה בגדר אוייב, נהפוך הוא, אוייב הוא מי שמבצע עבירה המופנית כנגד ישראל, שמטרתה לפגוע בביטחון הציבור, בכוחות הביטחון או </w:t>
      </w:r>
      <w:r w:rsidRPr="00FA0888">
        <w:rPr>
          <w:rFonts w:ascii="Miriam" w:hAnsi="Miriam" w:cs="Miriam"/>
          <w:sz w:val="24"/>
          <w:szCs w:val="24"/>
          <w:u w:val="single"/>
          <w:rtl/>
        </w:rPr>
        <w:t>בסדר הציבורי</w:t>
      </w:r>
      <w:r w:rsidRPr="00E5484D">
        <w:rPr>
          <w:rFonts w:ascii="Miriam" w:hAnsi="Miriam" w:cs="Miriam"/>
          <w:sz w:val="24"/>
          <w:szCs w:val="24"/>
          <w:rtl/>
        </w:rPr>
        <w:t xml:space="preserve"> בישראל או באזור</w:t>
      </w:r>
      <w:r>
        <w:rPr>
          <w:rFonts w:ascii="FrankRuehl" w:hAnsi="FrankRuehl" w:hint="cs"/>
          <w:sz w:val="28"/>
          <w:rtl/>
        </w:rPr>
        <w:t xml:space="preserve">" (עניין </w:t>
      </w:r>
      <w:r w:rsidRPr="00A51315">
        <w:rPr>
          <w:rFonts w:ascii="Miriam" w:hAnsi="Miriam" w:cs="Miriam"/>
          <w:sz w:val="24"/>
          <w:szCs w:val="24"/>
          <w:rtl/>
        </w:rPr>
        <w:t>פלונים</w:t>
      </w:r>
      <w:r>
        <w:rPr>
          <w:rFonts w:ascii="FrankRuehl" w:hAnsi="FrankRuehl" w:hint="cs"/>
          <w:sz w:val="28"/>
          <w:rtl/>
        </w:rPr>
        <w:t xml:space="preserve"> פסקה 14)[ההדגשה הוספה </w:t>
      </w:r>
      <w:r>
        <w:rPr>
          <w:rFonts w:ascii="FrankRuehl" w:hAnsi="FrankRuehl"/>
          <w:sz w:val="28"/>
          <w:rtl/>
        </w:rPr>
        <w:t>–</w:t>
      </w:r>
      <w:r>
        <w:rPr>
          <w:rFonts w:ascii="FrankRuehl" w:hAnsi="FrankRuehl" w:hint="cs"/>
          <w:sz w:val="28"/>
          <w:rtl/>
        </w:rPr>
        <w:t xml:space="preserve"> מ.א]. לכן נראה שלפי פסק הדין בעניין </w:t>
      </w:r>
      <w:r w:rsidRPr="00327484">
        <w:rPr>
          <w:rFonts w:ascii="Miriam" w:hAnsi="Miriam" w:cs="Miriam"/>
          <w:sz w:val="24"/>
          <w:szCs w:val="24"/>
          <w:rtl/>
        </w:rPr>
        <w:t>פלונים</w:t>
      </w:r>
      <w:r>
        <w:rPr>
          <w:rFonts w:ascii="FrankRuehl" w:hAnsi="FrankRuehl" w:hint="cs"/>
          <w:sz w:val="28"/>
          <w:rtl/>
        </w:rPr>
        <w:t xml:space="preserve"> כל שיתוף פעולה עם ישראל, לרבות לשם הגנה על הסדר הציבורי, אינו מקנה לרש"פ סמכות לעצור את משתף הפעולה. מכל מקום אף אם אניח שפסק הדין בעניין </w:t>
      </w:r>
      <w:r w:rsidRPr="00DF0248">
        <w:rPr>
          <w:rFonts w:ascii="Miriam" w:hAnsi="Miriam" w:cs="Miriam"/>
          <w:sz w:val="24"/>
          <w:szCs w:val="24"/>
          <w:rtl/>
        </w:rPr>
        <w:t>פלונים</w:t>
      </w:r>
      <w:r>
        <w:rPr>
          <w:rFonts w:ascii="FrankRuehl" w:hAnsi="FrankRuehl" w:hint="cs"/>
          <w:sz w:val="28"/>
          <w:rtl/>
        </w:rPr>
        <w:t xml:space="preserve"> עוסק רק בשיתוף פעולה הנוגע לסיכול טרור, וכי יש לאבחן בין שיתוף פעולה בטחוני לשיתוף פעולה כלכלי כפי שסבור כב' השופט </w:t>
      </w:r>
      <w:r w:rsidRPr="00FA0888">
        <w:rPr>
          <w:rFonts w:ascii="Miriam" w:hAnsi="Miriam" w:cs="Miriam"/>
          <w:sz w:val="24"/>
          <w:szCs w:val="24"/>
          <w:rtl/>
        </w:rPr>
        <w:t>דרורי</w:t>
      </w:r>
      <w:r>
        <w:rPr>
          <w:rFonts w:ascii="FrankRuehl" w:hAnsi="FrankRuehl" w:hint="cs"/>
          <w:sz w:val="28"/>
          <w:rtl/>
        </w:rPr>
        <w:t>, ואיני קובעת מסמרות בעניין, במקרה שלפנינו שיתוף הפעולה נכנס לגדר שיתוף פעולה בטחוני. זאת משום שאין חולק על כך שעילת המעצר וכתב האישום כללו גם חשד לשיתוף פעולה הנוגע להחזקת נשק של פלסטינים. לא יכול להיות ספק בכך, שסיוע במיגור תופעת החזקת נשק לא חוקי בידי פלסטינים, הוא צורך ביטחוני ממדרגה ראשונה. נשק לא חוקי המוחזק בידי פלסטינים, גם אם הם אינם בהכרח קשורים לגורמי טרור, עשוי לזלוג בקלות רבה גם לגורמי טרור. לכן המסקנה המתבקשת היא שהרש"פ עצרה והעמידה לדין את התובע בגין שיתוף פעולה לצרכים ביטחוניים, והיא אינה מוסמכת לעשות כן. לכך אוסיף כי אף אם אניח שהרש"פ מוסמכת לעצור את התובע עקב שיתוף הפעולה עם ישראל בנושא גניבת פלאפונים, הרי שמרגע שהרש"פ הגדירה את כלל הפעולות שפורטו בפסק דינה כ"בגידה" משום שהנאשם פעל לגישתה, "</w:t>
      </w:r>
      <w:r w:rsidRPr="00ED0D2E">
        <w:rPr>
          <w:rFonts w:ascii="Miriam" w:hAnsi="Miriam" w:cs="Miriam"/>
          <w:sz w:val="24"/>
          <w:szCs w:val="24"/>
          <w:rtl/>
        </w:rPr>
        <w:t>למען מדינה או גורם עויין למהפכה</w:t>
      </w:r>
      <w:r>
        <w:rPr>
          <w:rFonts w:ascii="FrankRuehl" w:hAnsi="FrankRuehl" w:hint="cs"/>
          <w:sz w:val="28"/>
          <w:rtl/>
        </w:rPr>
        <w:t>" ויצר קשר עם מי שפועל לטובת הגורם העויין "</w:t>
      </w:r>
      <w:r w:rsidRPr="00ED0D2E">
        <w:rPr>
          <w:rFonts w:ascii="Miriam" w:hAnsi="Miriam" w:cs="Miriam"/>
          <w:sz w:val="24"/>
          <w:szCs w:val="24"/>
          <w:rtl/>
        </w:rPr>
        <w:t>כדי לבצע פעולות עויינות נגד המהפכה"</w:t>
      </w:r>
      <w:r>
        <w:rPr>
          <w:rFonts w:ascii="FrankRuehl" w:hAnsi="FrankRuehl" w:hint="cs"/>
          <w:sz w:val="28"/>
          <w:rtl/>
        </w:rPr>
        <w:t xml:space="preserve"> (סעיף 131 לחוק העונשין הפלסטיני שבו הורשע התובע), הרי שמנקודת מבטה מדובר בעבירה ביטחונית כלפי ישראל ובגין כך היא אינה מוסמכת לעצור משתפי פעולה. אוסיף גם שלא נטען וממילא לא הוכח, שטענתו של הסניגור בערעור, כפי שתוארה לעיל, לפיה שיתוף הפעולה לא נגע לעניינים ביטחוניים </w:t>
      </w:r>
      <w:r>
        <w:rPr>
          <w:rFonts w:ascii="FrankRuehl" w:hAnsi="FrankRuehl"/>
          <w:sz w:val="28"/>
          <w:rtl/>
        </w:rPr>
        <w:t>–</w:t>
      </w:r>
      <w:r>
        <w:rPr>
          <w:rFonts w:ascii="FrankRuehl" w:hAnsi="FrankRuehl" w:hint="cs"/>
          <w:sz w:val="28"/>
          <w:rtl/>
        </w:rPr>
        <w:t xml:space="preserve"> התקבלה. הדבר אף עולה מעדותו של שופט בית המשפט הפלסטיני השופט פארס דודה שציין בחקירתו הנגדית שכל שיתוף </w:t>
      </w:r>
      <w:r>
        <w:rPr>
          <w:rFonts w:ascii="FrankRuehl" w:hAnsi="FrankRuehl" w:hint="cs"/>
          <w:sz w:val="28"/>
          <w:rtl/>
        </w:rPr>
        <w:lastRenderedPageBreak/>
        <w:t>פעולה עם ישראל שלא במסגרת התיאום והקישור בין הרשויות, נחשב לבגידה לפי סעיף 131 לחוק העונשין הפלסטיני אם שיתוף הפעולה מסגיר אזרחים פלסטינים (עמ' 52 שו' 2  ו- שו' 10 לפרוטוקול מיום 8.11.2021) ושאין זה משנה מה תוכן שיתוף הפעולה עם ישראל וכל שיתוף פעולה עם ישראל גם בענייני גניבת פלאפונים נחשב בגידה, ובלשונו -  "</w:t>
      </w:r>
      <w:r w:rsidRPr="00A94906">
        <w:rPr>
          <w:rFonts w:ascii="Miriam" w:hAnsi="Miriam" w:cs="Miriam"/>
          <w:sz w:val="24"/>
          <w:szCs w:val="24"/>
          <w:rtl/>
        </w:rPr>
        <w:t>לא על מה הוא דיווח, אלא שהוא שיתף פעולה עם מודיעין הישראלי וזה נחשב עבירה</w:t>
      </w:r>
      <w:r>
        <w:rPr>
          <w:rFonts w:ascii="FrankRuehl" w:hAnsi="FrankRuehl" w:hint="cs"/>
          <w:sz w:val="28"/>
          <w:rtl/>
        </w:rPr>
        <w:t xml:space="preserve">" (שם, עמ' 56 שו' 20). </w:t>
      </w:r>
    </w:p>
    <w:p w:rsidR="0047397E" w:rsidRDefault="0047397E" w:rsidP="0047397E">
      <w:pPr>
        <w:pStyle w:val="Ruller41"/>
        <w:rPr>
          <w:rFonts w:ascii="FrankRuehl" w:hAnsi="FrankRuehl"/>
          <w:sz w:val="28"/>
          <w:rtl/>
        </w:rPr>
      </w:pPr>
    </w:p>
    <w:p w:rsidR="0047397E" w:rsidRDefault="0047397E" w:rsidP="0047397E">
      <w:pPr>
        <w:pStyle w:val="Ruller41"/>
        <w:tabs>
          <w:tab w:val="clear" w:pos="800"/>
          <w:tab w:val="left" w:pos="611"/>
        </w:tabs>
        <w:rPr>
          <w:rFonts w:ascii="FrankRuehl" w:hAnsi="FrankRuehl"/>
          <w:sz w:val="28"/>
          <w:rtl/>
        </w:rPr>
      </w:pPr>
      <w:r>
        <w:rPr>
          <w:rFonts w:hint="cs"/>
          <w:rtl/>
        </w:rPr>
        <w:t>30.</w:t>
      </w:r>
      <w:r>
        <w:rPr>
          <w:rtl/>
        </w:rPr>
        <w:tab/>
      </w:r>
      <w:r>
        <w:rPr>
          <w:rFonts w:hint="cs"/>
          <w:rtl/>
        </w:rPr>
        <w:t>לכך יש להוסיף את עדותו של התובע כפי שצוטטה לעיל ומהימנה עליי לפיה הוא נחקר בחשד לשיתוף פעולה עם ישראל לגבי פעילי טרור "</w:t>
      </w:r>
      <w:r w:rsidRPr="009C24AE">
        <w:rPr>
          <w:rFonts w:ascii="Miriam" w:hAnsi="Miriam" w:cs="Miriam"/>
          <w:sz w:val="24"/>
          <w:szCs w:val="24"/>
          <w:rtl/>
        </w:rPr>
        <w:t>משנת 2004 שירתי בכוחות הביטחון, הייתי עם שב"כ ישראלי, הייתי פעיל בפעולות נגד טרור כדי לשמור על המדינה..."</w:t>
      </w:r>
      <w:r>
        <w:rPr>
          <w:rFonts w:hint="cs"/>
          <w:rtl/>
        </w:rPr>
        <w:t xml:space="preserve"> (עמ' 6 שו' 25-24 לפרוטוקול הדיון מיום 2.11.2021) וכן שהוא נחקר לגבי "</w:t>
      </w:r>
      <w:r w:rsidRPr="00327484">
        <w:rPr>
          <w:rFonts w:ascii="Miriam" w:hAnsi="Miriam" w:cs="Miriam"/>
          <w:sz w:val="24"/>
          <w:szCs w:val="24"/>
          <w:rtl/>
        </w:rPr>
        <w:t>תמונות של שהידים</w:t>
      </w:r>
      <w:r>
        <w:rPr>
          <w:rFonts w:hint="cs"/>
          <w:rtl/>
        </w:rPr>
        <w:t>" (שם, עמ' 17 שו' 17) וגם "</w:t>
      </w:r>
      <w:r w:rsidRPr="00327484">
        <w:rPr>
          <w:rFonts w:ascii="Miriam" w:hAnsi="Miriam" w:cs="Miriam"/>
          <w:sz w:val="24"/>
          <w:szCs w:val="24"/>
          <w:rtl/>
        </w:rPr>
        <w:t>לגבי נשק. אנשים שהידים חקרו, ועל אנשים בתוך מאסר עולם</w:t>
      </w:r>
      <w:r>
        <w:rPr>
          <w:rFonts w:hint="cs"/>
          <w:rtl/>
        </w:rPr>
        <w:t xml:space="preserve">" (שם, שם,  שו' 21).  </w:t>
      </w:r>
    </w:p>
    <w:p w:rsidR="0047397E" w:rsidRPr="00FA0888" w:rsidRDefault="0047397E" w:rsidP="0047397E">
      <w:pPr>
        <w:pStyle w:val="Ruller41"/>
        <w:rPr>
          <w:rFonts w:ascii="FrankRuehl" w:hAnsi="FrankRuehl"/>
          <w:sz w:val="18"/>
          <w:szCs w:val="18"/>
          <w:rtl/>
        </w:rPr>
      </w:pPr>
    </w:p>
    <w:p w:rsidR="0047397E" w:rsidRDefault="0047397E" w:rsidP="0047397E">
      <w:pPr>
        <w:pStyle w:val="Ruller41"/>
        <w:tabs>
          <w:tab w:val="clear" w:pos="800"/>
          <w:tab w:val="left" w:pos="611"/>
        </w:tabs>
        <w:ind w:firstLine="141"/>
        <w:rPr>
          <w:rFonts w:ascii="FrankRuehl" w:hAnsi="FrankRuehl"/>
          <w:sz w:val="28"/>
          <w:rtl/>
        </w:rPr>
      </w:pPr>
      <w:r>
        <w:rPr>
          <w:rFonts w:ascii="FrankRuehl" w:hAnsi="FrankRuehl"/>
          <w:sz w:val="28"/>
          <w:rtl/>
        </w:rPr>
        <w:tab/>
      </w:r>
      <w:r>
        <w:rPr>
          <w:rFonts w:ascii="FrankRuehl" w:hAnsi="FrankRuehl" w:hint="cs"/>
          <w:sz w:val="28"/>
          <w:rtl/>
        </w:rPr>
        <w:t xml:space="preserve">המסקנה היא שהרש"פ ראתה בפעולותיו של התובע פעולות ביטחוניות ולכן היא לא הייתה מוסמכת לעצור ולכלא את התובע. זאת לפחות מן הרגע שבו החשדות הוסבו מחשד לשיתוף פעולה עם החמאס והחזקת נשק, לחשד לשיתוף פעולה עם ישראל.  </w:t>
      </w:r>
    </w:p>
    <w:p w:rsidR="0047397E" w:rsidRPr="00FA0888" w:rsidRDefault="0047397E" w:rsidP="0047397E">
      <w:pPr>
        <w:pStyle w:val="Ruller41"/>
        <w:rPr>
          <w:rFonts w:ascii="FrankRuehl" w:hAnsi="FrankRuehl"/>
          <w:sz w:val="18"/>
          <w:szCs w:val="18"/>
          <w:rtl/>
        </w:rPr>
      </w:pPr>
    </w:p>
    <w:p w:rsidR="0047397E" w:rsidRDefault="0047397E" w:rsidP="0047397E">
      <w:pPr>
        <w:pStyle w:val="Ruller41"/>
        <w:rPr>
          <w:rFonts w:ascii="FrankRuehl" w:hAnsi="FrankRuehl"/>
          <w:b/>
          <w:bCs/>
          <w:sz w:val="28"/>
          <w:u w:val="single"/>
          <w:rtl/>
        </w:rPr>
      </w:pPr>
      <w:r w:rsidRPr="009C24AE">
        <w:rPr>
          <w:rFonts w:ascii="FrankRuehl" w:hAnsi="FrankRuehl" w:hint="cs"/>
          <w:b/>
          <w:bCs/>
          <w:sz w:val="28"/>
          <w:u w:val="single"/>
          <w:rtl/>
        </w:rPr>
        <w:t>כליאת שווא</w:t>
      </w:r>
    </w:p>
    <w:p w:rsidR="0047397E" w:rsidRDefault="0047397E" w:rsidP="0047397E">
      <w:pPr>
        <w:pStyle w:val="Ruller41"/>
        <w:rPr>
          <w:rFonts w:ascii="FrankRuehl" w:hAnsi="FrankRuehl"/>
          <w:b/>
          <w:bCs/>
          <w:sz w:val="28"/>
          <w:u w:val="single"/>
          <w:rtl/>
        </w:rPr>
      </w:pPr>
    </w:p>
    <w:p w:rsidR="0047397E" w:rsidRDefault="0047397E" w:rsidP="0047397E">
      <w:pPr>
        <w:pStyle w:val="Ruller41"/>
        <w:rPr>
          <w:rFonts w:ascii="FrankRuehl" w:hAnsi="FrankRuehl"/>
          <w:sz w:val="28"/>
          <w:rtl/>
        </w:rPr>
      </w:pPr>
      <w:r w:rsidRPr="00B6276A">
        <w:rPr>
          <w:rFonts w:ascii="FrankRuehl" w:hAnsi="FrankRuehl" w:hint="cs"/>
          <w:sz w:val="28"/>
          <w:rtl/>
        </w:rPr>
        <w:t>31.</w:t>
      </w:r>
      <w:r w:rsidRPr="00B6276A">
        <w:rPr>
          <w:rFonts w:ascii="FrankRuehl" w:hAnsi="FrankRuehl" w:hint="cs"/>
          <w:sz w:val="28"/>
          <w:rtl/>
        </w:rPr>
        <w:tab/>
      </w:r>
      <w:r>
        <w:rPr>
          <w:rFonts w:ascii="FrankRuehl" w:hAnsi="FrankRuehl" w:hint="cs"/>
          <w:sz w:val="28"/>
          <w:rtl/>
        </w:rPr>
        <w:t xml:space="preserve">כפי שצויין לעיל, התובע נעצר תחילה בגין שיתוף פעולה עם החמאס והחזקת נזק וזאת מיום 20.4.2008 ועד ליום 6.5.2008, שאז הודה בשיתוף פעולה עם ישראל.     נוכח מסקנתי לפיה הרש"פ לא היתה מוסמכת לכלוא את התובע מהיום שבו החשד הוסב משיתוף פעולה עם חמס ואחזקת נשק לשיתוף פעולה עם ישראל, </w:t>
      </w:r>
      <w:r>
        <w:rPr>
          <w:rFonts w:hint="cs"/>
          <w:rtl/>
        </w:rPr>
        <w:t xml:space="preserve">הרי </w:t>
      </w:r>
      <w:r>
        <w:rPr>
          <w:rFonts w:ascii="FrankRuehl" w:hAnsi="FrankRuehl" w:hint="cs"/>
          <w:sz w:val="28"/>
          <w:rtl/>
        </w:rPr>
        <w:t xml:space="preserve">שהתובע נעצר ונכלא שלא כדין מיום 6.5.2008 ועד לשחרורו ביום 20.4.2015 ובסך הכל  2,540 ימים.   </w:t>
      </w:r>
    </w:p>
    <w:p w:rsidR="0047397E" w:rsidRPr="00FA0888" w:rsidRDefault="0047397E" w:rsidP="0047397E">
      <w:pPr>
        <w:pStyle w:val="Ruller41"/>
        <w:rPr>
          <w:sz w:val="10"/>
          <w:szCs w:val="16"/>
          <w:rtl/>
        </w:rPr>
      </w:pPr>
    </w:p>
    <w:p w:rsidR="0047397E" w:rsidRDefault="0047397E" w:rsidP="0047397E">
      <w:pPr>
        <w:pStyle w:val="Ruller41"/>
        <w:rPr>
          <w:b/>
          <w:bCs/>
          <w:u w:val="single"/>
          <w:rtl/>
        </w:rPr>
      </w:pPr>
      <w:r w:rsidRPr="009C24AE">
        <w:rPr>
          <w:rFonts w:hint="cs"/>
          <w:b/>
          <w:bCs/>
          <w:u w:val="single"/>
          <w:rtl/>
        </w:rPr>
        <w:t>תקיפה</w:t>
      </w:r>
    </w:p>
    <w:p w:rsidR="0047397E" w:rsidRPr="00FA0888" w:rsidRDefault="0047397E" w:rsidP="0047397E">
      <w:pPr>
        <w:pStyle w:val="Ruller41"/>
        <w:rPr>
          <w:b/>
          <w:bCs/>
          <w:sz w:val="14"/>
          <w:szCs w:val="20"/>
          <w:u w:val="single"/>
          <w:rtl/>
        </w:rPr>
      </w:pPr>
    </w:p>
    <w:p w:rsidR="0047397E" w:rsidRDefault="0047397E" w:rsidP="0047397E">
      <w:pPr>
        <w:pStyle w:val="Ruller41"/>
        <w:rPr>
          <w:rtl/>
        </w:rPr>
      </w:pPr>
      <w:r>
        <w:rPr>
          <w:rFonts w:hint="cs"/>
          <w:rtl/>
        </w:rPr>
        <w:t xml:space="preserve">32. </w:t>
      </w:r>
      <w:r>
        <w:rPr>
          <w:rFonts w:hint="cs"/>
          <w:rtl/>
        </w:rPr>
        <w:tab/>
        <w:t xml:space="preserve">התובע מתאר בתצהירו שביום מעצרו, ביום 20.4.2008, הוא נלקח לבית המעצר בדורא ונחקר תחת עינויים קשים כשהוא כבול בידיו כשהן מאחורי גבו, וברגליו וכשהוא </w:t>
      </w:r>
      <w:r>
        <w:rPr>
          <w:rFonts w:hint="cs"/>
          <w:rtl/>
        </w:rPr>
        <w:lastRenderedPageBreak/>
        <w:t>עומד עירום בחדר הרחצה.  בהמשך הוא מתאר שישן בצינוק עם מים בגובה סנטימטר - כדי למנוע ממנו לשכב על הקרקע  - וכאשר הצליח להירדם היו מעירים אותו במכות. התובע מתאר שמידי שבת היו חוקרים אותו ולאחר מכן היו מובילים אותו מהצינוק לרחבת הכלא שם חוייב להחזיק שני בקבוקי מים בזווית 90 מעלות וכאשר ידיו עייפו  היה מקבל מכות חזקות. בנוסף החוקרים היו מכבים עליו סיגריות, מטיחים את ראשו בקיר בעצמה וכן הכניסו אותו לתא קטן ומבודד למשך 3 חודשים כאשר הוא לבוש רק בתחתונים ולא אפשרו לו להתפנות לשירותים. החוקרים נהגו להעלותו לגג בית המעצר ולהכניסו לדוד מים קרים למשך לילות שלמים. ימים רבים קשרו את ידיו מעל הראש ותלו אותו כל הלילה מהתקרה, כאשר הוא לבוש בתחתונים בלבד. במהלך החקירות שפכו עליו מים קרים וכיוונו אליו את המאוורר ואחד החוקרים השתין על ראשו. החוקרים ציירו סולם על הקיר ובקשו מן התובע לטפס עליו וכאשר הוא לא הצליח נתנו לו מכות רצח (פסקאות 14-5 לתצהיר התובע).</w:t>
      </w:r>
    </w:p>
    <w:p w:rsidR="0047397E" w:rsidRPr="00FA0888" w:rsidRDefault="0047397E" w:rsidP="0047397E">
      <w:pPr>
        <w:pStyle w:val="Ruller41"/>
        <w:rPr>
          <w:sz w:val="10"/>
          <w:szCs w:val="16"/>
          <w:rtl/>
        </w:rPr>
      </w:pPr>
    </w:p>
    <w:p w:rsidR="0047397E" w:rsidRDefault="0047397E" w:rsidP="0047397E">
      <w:pPr>
        <w:pStyle w:val="Ruller41"/>
        <w:rPr>
          <w:rtl/>
        </w:rPr>
      </w:pPr>
      <w:r>
        <w:rPr>
          <w:rFonts w:hint="cs"/>
          <w:rtl/>
        </w:rPr>
        <w:t>33.</w:t>
      </w:r>
      <w:r>
        <w:rPr>
          <w:rFonts w:hint="cs"/>
          <w:rtl/>
        </w:rPr>
        <w:tab/>
        <w:t>בהמשך לכך מתאר התובע בתצהירו, שביום 2.6.2008 הוגש נגדו כתב אישום בגין עבירות בגידה, ריגול ומסירת מידע לישראל וכי נגזר עליו עונש מוות שהומר לשבע שנות מאסר. התובע מתאר שבזמן ההמתנה בין גזר דין המוות שנגזר עליו, ועד שעונשו הומר ל-7 שנות מאסר, הוא חי "</w:t>
      </w:r>
      <w:r w:rsidRPr="00D10FD8">
        <w:rPr>
          <w:rFonts w:ascii="Miriam" w:hAnsi="Miriam" w:cs="Miriam"/>
          <w:sz w:val="24"/>
          <w:szCs w:val="24"/>
          <w:rtl/>
        </w:rPr>
        <w:t>בפחד תמידי כשאני מדמיין איך אני מוצא להורג על ידי כיתת יורים. לא הצלחתי להירדם בלילות מרוב לחץ. בכיתי המון הרגשתי שאני מאבד את שפיות דעתי</w:t>
      </w:r>
      <w:r>
        <w:rPr>
          <w:rFonts w:hint="cs"/>
          <w:rtl/>
        </w:rPr>
        <w:t xml:space="preserve">" (סעיף 17 לתצהיר התובע). בעניין זה יאמר מיד, שאין לתת אמון בעדותו של התובע. כפי שעולה מן הראיות שפורטו לעיל. עונש המוות הומר ל- 7 שנות מאסר מיד עם מתן גזר הדין.  </w:t>
      </w:r>
    </w:p>
    <w:p w:rsidR="0047397E" w:rsidRPr="00FA0888" w:rsidRDefault="0047397E" w:rsidP="0047397E">
      <w:pPr>
        <w:pStyle w:val="Ruller41"/>
        <w:rPr>
          <w:sz w:val="12"/>
          <w:szCs w:val="18"/>
          <w:rtl/>
        </w:rPr>
      </w:pPr>
    </w:p>
    <w:p w:rsidR="0047397E" w:rsidRDefault="0047397E" w:rsidP="0047397E">
      <w:pPr>
        <w:pStyle w:val="Ruller41"/>
        <w:rPr>
          <w:rtl/>
        </w:rPr>
      </w:pPr>
      <w:r>
        <w:rPr>
          <w:rFonts w:hint="cs"/>
          <w:rtl/>
        </w:rPr>
        <w:t xml:space="preserve">34.      בכל הנוגע לתקופת שהותו בכלא לאחר סיום החקירה ולאחר שנגזר דינו -  התובע מתאר שבמהלך כליאתו הוא סבל מעינויים קשים ובשל כך הוא ניסה להתאבד מספר פעמים על מנת לשים קץ לייסוריו וכי בשל העינויים הקשים והפחד היומיומי התדרדר מצבו הנפשי עד שבשנתיים האחרונות לישיבתו בכלא הוא הועבר לאשפוז פסיכיאטרי בבתי חולים  ברמאללה ובבית לחם (סעיף 18  לתצהיר). </w:t>
      </w:r>
    </w:p>
    <w:p w:rsidR="0047397E" w:rsidRPr="00FA0888" w:rsidRDefault="0047397E" w:rsidP="0047397E">
      <w:pPr>
        <w:pStyle w:val="Ruller41"/>
        <w:rPr>
          <w:sz w:val="14"/>
          <w:szCs w:val="20"/>
          <w:rtl/>
        </w:rPr>
      </w:pPr>
    </w:p>
    <w:p w:rsidR="0047397E" w:rsidRDefault="0047397E" w:rsidP="0047397E">
      <w:pPr>
        <w:pStyle w:val="Ruller41"/>
        <w:tabs>
          <w:tab w:val="clear" w:pos="800"/>
          <w:tab w:val="left" w:pos="895"/>
        </w:tabs>
        <w:rPr>
          <w:rtl/>
        </w:rPr>
      </w:pPr>
      <w:r>
        <w:rPr>
          <w:rFonts w:hint="cs"/>
          <w:rtl/>
        </w:rPr>
        <w:t xml:space="preserve">35.      בחקירתו הנגדית חזר התובע וסיפר שבהלך החקירות עינו אותו, שמו אותו בבידוד בחדר עם שתן ומים כשהוא ערום והדבר נמשך גם לאחר מתן גזר הדין (עמ' 13 </w:t>
      </w:r>
      <w:r>
        <w:rPr>
          <w:rFonts w:hint="cs"/>
          <w:rtl/>
        </w:rPr>
        <w:lastRenderedPageBreak/>
        <w:t xml:space="preserve">שו' 32-19).  כן תיאר שלאחר החקירה הוא הועבר לשנה וחצי לבית לחם שם דקרו אותו. כן שהה בכלא ביריחו שם החלו לתת לו תרופות ואשפזו אותו בטיפול נמרץ בתוך הכלא ונתנו לו תרופות. בשנה האחרונה לשהותו בכלא הוא שהה בבית כלא בדהריה שם קיבל מכות, הוא הופרד מיתר האסירים וחייבו אותו לשבת על בקבוקים כשהוא קשור עם חוטים ועירום (שם, עמ' 14 שו' 7-2). </w:t>
      </w:r>
    </w:p>
    <w:p w:rsidR="0047397E" w:rsidRPr="00FA0888" w:rsidRDefault="0047397E" w:rsidP="0047397E">
      <w:pPr>
        <w:pStyle w:val="Ruller41"/>
        <w:rPr>
          <w:sz w:val="12"/>
          <w:szCs w:val="18"/>
          <w:rtl/>
        </w:rPr>
      </w:pPr>
    </w:p>
    <w:p w:rsidR="0047397E" w:rsidRDefault="0047397E" w:rsidP="0047397E">
      <w:pPr>
        <w:pStyle w:val="Ruller41"/>
        <w:rPr>
          <w:rtl/>
        </w:rPr>
      </w:pPr>
      <w:r>
        <w:rPr>
          <w:rFonts w:hint="cs"/>
          <w:rtl/>
        </w:rPr>
        <w:t>36.</w:t>
      </w:r>
      <w:r>
        <w:rPr>
          <w:rFonts w:hint="cs"/>
          <w:rtl/>
        </w:rPr>
        <w:tab/>
        <w:t>עוד תיאר התובע בחקירתו הנגדית שהרש"פ המשיכה לחקור אותו גם לאחר שנגזר דינו משום שחשדו בו שהוא מגייס אנשים בתוך הכלא לשב"כ הישראלי (שם, שו' 11). התובע תיאר שהיו מוצאים אותו יחד עם סייענים נוספים אל מחוץ לחדרם (שם, שו' 17) והיו מרביצים להם וטוענים שהם אלו שגרמו לצבא הישראלי להגיע אליהם (שם, שו' 16) ו"</w:t>
      </w:r>
      <w:r w:rsidRPr="00FF4E23">
        <w:rPr>
          <w:rFonts w:ascii="Miriam" w:hAnsi="Miriam" w:cs="Miriam"/>
          <w:sz w:val="24"/>
          <w:szCs w:val="24"/>
          <w:rtl/>
        </w:rPr>
        <w:t>שלפני החקירות הם הרביצו ועינו וזה היה בפני כל בית הסוהר. בתוך החצר היו מרביצים לנו מול כל האסירים</w:t>
      </w:r>
      <w:r>
        <w:rPr>
          <w:rFonts w:hint="cs"/>
          <w:rtl/>
        </w:rPr>
        <w:t>" (שם, עמ' 23 שו' 6-5). התובע ציין שהדבר אירע "</w:t>
      </w:r>
      <w:r w:rsidRPr="00FF4E23">
        <w:rPr>
          <w:rFonts w:ascii="Miriam" w:hAnsi="Miriam" w:cs="Miriam"/>
          <w:sz w:val="24"/>
          <w:szCs w:val="24"/>
          <w:rtl/>
        </w:rPr>
        <w:t>אולי 3 פעמים בכלא</w:t>
      </w:r>
      <w:r>
        <w:rPr>
          <w:rFonts w:hint="cs"/>
          <w:rtl/>
        </w:rPr>
        <w:t>"</w:t>
      </w:r>
      <w:r>
        <w:t xml:space="preserve"> </w:t>
      </w:r>
      <w:r>
        <w:rPr>
          <w:rFonts w:hint="cs"/>
          <w:rtl/>
        </w:rPr>
        <w:t xml:space="preserve">(שם, שו' 19). כאשר נשאל מדוע הדברים אינם מתוארים בכתב התביעה או בתצהיר והם מועלים לראשונה בחקירה הנגדית השיב שהוא נמנע מלספר הכל ואפילו לאשתו הוא לא סיפר הכל. בהמשך אף תיאר שניסו לאנוס אותו בכלא והוא לא סיפר (שם עמ' 15 שו' 9).  </w:t>
      </w:r>
    </w:p>
    <w:p w:rsidR="0047397E" w:rsidRPr="00FA0888" w:rsidRDefault="0047397E" w:rsidP="0047397E">
      <w:pPr>
        <w:pStyle w:val="Ruller41"/>
        <w:rPr>
          <w:sz w:val="16"/>
          <w:szCs w:val="22"/>
          <w:rtl/>
        </w:rPr>
      </w:pPr>
    </w:p>
    <w:p w:rsidR="0047397E" w:rsidRPr="00B068EB" w:rsidRDefault="0047397E" w:rsidP="0047397E">
      <w:pPr>
        <w:pStyle w:val="Ruller41"/>
        <w:rPr>
          <w:color w:val="FF0000"/>
          <w:rtl/>
        </w:rPr>
      </w:pPr>
      <w:r>
        <w:rPr>
          <w:rFonts w:hint="cs"/>
          <w:rtl/>
        </w:rPr>
        <w:t>37.</w:t>
      </w:r>
      <w:r>
        <w:rPr>
          <w:rFonts w:hint="cs"/>
          <w:rtl/>
        </w:rPr>
        <w:tab/>
        <w:t xml:space="preserve">יצויין כי התובע סיפר לראשונה בחקירתו, שהמסמכים מתיק החקירה שמפרטים את הודעותיו והוא חתום עליהם (התרגום בעמ' 16-15 ו - 26 לראיות הנתבעת) נמסרו לו לחתימה כשהם ריקים. גם בעניין זה ייאמר כבר עתה שלא מצאתי לקבל גרסה כבושה זו של התובע אף שלא ניתן להוציא מכלל אפשרות שכך היו פני הדברים. מכל מקום אין באי קבלת גרסת התובע בעניין המסמכים הריקים, כדי ללמד על נכונות תכנם של המסמכים אף אם התובע קרא את תוכנם ואישר אותם בחתימתו. </w:t>
      </w:r>
    </w:p>
    <w:p w:rsidR="0047397E" w:rsidRPr="00FA0888" w:rsidRDefault="0047397E" w:rsidP="0047397E">
      <w:pPr>
        <w:pStyle w:val="Ruller41"/>
        <w:rPr>
          <w:sz w:val="14"/>
          <w:szCs w:val="20"/>
          <w:rtl/>
        </w:rPr>
      </w:pPr>
    </w:p>
    <w:p w:rsidR="0047397E" w:rsidRDefault="0047397E" w:rsidP="0047397E">
      <w:pPr>
        <w:pStyle w:val="Ruller41"/>
        <w:rPr>
          <w:rtl/>
        </w:rPr>
      </w:pPr>
      <w:r>
        <w:rPr>
          <w:rFonts w:hint="cs"/>
          <w:rtl/>
        </w:rPr>
        <w:t>38.</w:t>
      </w:r>
      <w:r>
        <w:rPr>
          <w:rFonts w:hint="cs"/>
          <w:rtl/>
        </w:rPr>
        <w:tab/>
        <w:t xml:space="preserve">לחיזוק גרסתו, הגיש התובע תצהירים מאת מוחמד שרווני (להלן: </w:t>
      </w:r>
      <w:r w:rsidRPr="00A51315">
        <w:rPr>
          <w:rFonts w:ascii="Miriam" w:hAnsi="Miriam" w:cs="Miriam"/>
          <w:sz w:val="24"/>
          <w:szCs w:val="24"/>
          <w:rtl/>
        </w:rPr>
        <w:t>שרווני)</w:t>
      </w:r>
      <w:r>
        <w:rPr>
          <w:rFonts w:hint="cs"/>
          <w:rtl/>
        </w:rPr>
        <w:t xml:space="preserve">, עאזי רג'וב (להלן: </w:t>
      </w:r>
      <w:r w:rsidRPr="00A51315">
        <w:rPr>
          <w:rFonts w:ascii="Miriam" w:hAnsi="Miriam" w:cs="Miriam"/>
          <w:sz w:val="24"/>
          <w:szCs w:val="24"/>
          <w:rtl/>
        </w:rPr>
        <w:t>רג'וב</w:t>
      </w:r>
      <w:r>
        <w:rPr>
          <w:rFonts w:hint="cs"/>
          <w:rtl/>
        </w:rPr>
        <w:t xml:space="preserve">) ונזאר מחריק (להלן: </w:t>
      </w:r>
      <w:r w:rsidRPr="00A51315">
        <w:rPr>
          <w:rFonts w:ascii="Miriam" w:hAnsi="Miriam" w:cs="Miriam"/>
          <w:sz w:val="24"/>
          <w:szCs w:val="24"/>
          <w:rtl/>
        </w:rPr>
        <w:t>מחריק</w:t>
      </w:r>
      <w:r>
        <w:rPr>
          <w:rFonts w:hint="cs"/>
          <w:rtl/>
        </w:rPr>
        <w:t>). שלושתם שהו עם התובע בכלא בדהריה ונחשדו אף הם בשיתוף פעולה עם ישראל.</w:t>
      </w:r>
    </w:p>
    <w:p w:rsidR="0047397E" w:rsidRPr="00150DC6" w:rsidRDefault="0047397E" w:rsidP="0047397E">
      <w:pPr>
        <w:pStyle w:val="Ruller41"/>
        <w:rPr>
          <w:sz w:val="16"/>
          <w:szCs w:val="22"/>
          <w:rtl/>
        </w:rPr>
      </w:pPr>
    </w:p>
    <w:p w:rsidR="0047397E" w:rsidRDefault="0047397E" w:rsidP="0047397E">
      <w:pPr>
        <w:pStyle w:val="Ruller41"/>
        <w:rPr>
          <w:rtl/>
        </w:rPr>
      </w:pPr>
      <w:r>
        <w:rPr>
          <w:rFonts w:hint="cs"/>
          <w:rtl/>
        </w:rPr>
        <w:lastRenderedPageBreak/>
        <w:t>39.</w:t>
      </w:r>
      <w:r>
        <w:rPr>
          <w:rFonts w:hint="cs"/>
          <w:rtl/>
        </w:rPr>
        <w:tab/>
        <w:t xml:space="preserve">שרווני תיאר בתצהירו ששהה עם התובע בכלא דהריה כשנתיים בחדר אחד יחד עם משתפי פעולה נוספים. כן הוא מתאר שמהלך שהותם בכלא הוא ראה כיצד מענים את התובע, העמידו אותו עם ידיים אזוקות על קופסאות שימורים, עשו צרכים על ראשו ועינו אותו בדרכים נוספות. העד מתאר שמידי פעם היו מוציאים את התובע לרחבת הכלא שם נדרש להחזיק בקבוקי מים בשתי ידיו וכאשר כשלו ידיו של התובע, היו מכים אותו מכות נמרצות. </w:t>
      </w:r>
    </w:p>
    <w:p w:rsidR="0047397E" w:rsidRPr="00150DC6" w:rsidRDefault="0047397E" w:rsidP="0047397E">
      <w:pPr>
        <w:pStyle w:val="Ruller41"/>
        <w:rPr>
          <w:sz w:val="12"/>
          <w:szCs w:val="18"/>
          <w:rtl/>
        </w:rPr>
      </w:pPr>
    </w:p>
    <w:p w:rsidR="0047397E" w:rsidRDefault="0047397E" w:rsidP="0047397E">
      <w:pPr>
        <w:pStyle w:val="Ruller41"/>
        <w:rPr>
          <w:rtl/>
        </w:rPr>
      </w:pPr>
      <w:r>
        <w:rPr>
          <w:rFonts w:hint="cs"/>
          <w:rtl/>
        </w:rPr>
        <w:t>40.</w:t>
      </w:r>
      <w:r>
        <w:rPr>
          <w:rFonts w:hint="cs"/>
          <w:rtl/>
        </w:rPr>
        <w:tab/>
        <w:t xml:space="preserve"> בחקירתו הנגדית סיפר העד שכאשר שהה בכלא, הרש"פ חשדה בו ובתובע ובאדם נוסף, שהם יוצרים קשר  עם השב"כ מתוך הכלא ובשל חשדות אלו  היו מוצאים אותם מהחדר ומענים אותם (שם, עמ' 27 שו' 9 ועמ' 20). בהמשך תיאר ש"</w:t>
      </w:r>
      <w:r w:rsidRPr="00A51315">
        <w:rPr>
          <w:rFonts w:ascii="Miriam" w:hAnsi="Miriam" w:cs="Miriam"/>
          <w:sz w:val="24"/>
          <w:szCs w:val="24"/>
          <w:rtl/>
        </w:rPr>
        <w:t>גם המפקדים וגם הסוהרים היו מרביצים לנו ולא היו מכניסים את בני המשפחה לבקר אותנו. היו משתינים על הראש שלנו בגלל שאנחנו היינו משתפ"ים.</w:t>
      </w:r>
      <w:r>
        <w:rPr>
          <w:rFonts w:ascii="Miriam" w:hAnsi="Miriam" w:cs="Miriam" w:hint="cs"/>
          <w:sz w:val="24"/>
          <w:szCs w:val="24"/>
          <w:rtl/>
        </w:rPr>
        <w:t xml:space="preserve"> </w:t>
      </w:r>
      <w:r w:rsidRPr="00A51315">
        <w:rPr>
          <w:rFonts w:ascii="Miriam" w:hAnsi="Miriam" w:cs="Miriam"/>
          <w:sz w:val="24"/>
          <w:szCs w:val="24"/>
          <w:rtl/>
        </w:rPr>
        <w:t>היו שמים שתן בבקבוק והיו שופכים על הראש שלי ועל הראש של התובע</w:t>
      </w:r>
      <w:r>
        <w:rPr>
          <w:rFonts w:hint="cs"/>
          <w:rtl/>
        </w:rPr>
        <w:t xml:space="preserve">" (שם, עמ' 28 שו' 21-18). </w:t>
      </w:r>
    </w:p>
    <w:p w:rsidR="0047397E" w:rsidRPr="00150DC6" w:rsidRDefault="0047397E" w:rsidP="0047397E">
      <w:pPr>
        <w:pStyle w:val="Ruller41"/>
        <w:rPr>
          <w:sz w:val="14"/>
          <w:szCs w:val="20"/>
          <w:rtl/>
        </w:rPr>
      </w:pPr>
    </w:p>
    <w:p w:rsidR="0047397E" w:rsidRDefault="0047397E" w:rsidP="0047397E">
      <w:pPr>
        <w:pStyle w:val="Ruller41"/>
        <w:rPr>
          <w:rtl/>
        </w:rPr>
      </w:pPr>
      <w:r>
        <w:rPr>
          <w:rFonts w:hint="cs"/>
          <w:rtl/>
        </w:rPr>
        <w:t>41.</w:t>
      </w:r>
      <w:r>
        <w:rPr>
          <w:rFonts w:hint="cs"/>
          <w:rtl/>
        </w:rPr>
        <w:tab/>
        <w:t xml:space="preserve">העד מחריק תיאר בתצהירו שהוא שהא בכלא דהריה יחד עם התובע בשנים 2014-2015, באותו חדר יחד עם עוד 11 אסירים וכי הוא ראה את העינויים הקשים שחווה התובע. העד מתאר שכל האסירים ספגו התעללות קשה מצד הסוהרים אבל התובע סבל באופן מיוחד. הסוהרים היו מכים אותו מכות קשות על בסיס יומי. העד מתאר שסמוך למועד השחרור של התובע הגיעו חוקרים של הרש"פ הוציאו אותו לחצר בית הכלא היכו אותו ולקחו אותו לחקירה ולאחר מספר ימים של חקירה הוא הוחזר לתא בכלא וניסה להתאבד ובשל כך הוא נשלח לצינוק. </w:t>
      </w:r>
    </w:p>
    <w:p w:rsidR="0047397E" w:rsidRPr="00150DC6" w:rsidRDefault="0047397E" w:rsidP="0047397E">
      <w:pPr>
        <w:pStyle w:val="Ruller41"/>
        <w:rPr>
          <w:sz w:val="12"/>
          <w:szCs w:val="18"/>
          <w:rtl/>
        </w:rPr>
      </w:pPr>
    </w:p>
    <w:p w:rsidR="0047397E" w:rsidRDefault="0047397E" w:rsidP="0047397E">
      <w:pPr>
        <w:pStyle w:val="Ruller41"/>
        <w:rPr>
          <w:rtl/>
        </w:rPr>
      </w:pPr>
      <w:r>
        <w:rPr>
          <w:rFonts w:hint="cs"/>
          <w:rtl/>
        </w:rPr>
        <w:t>42.</w:t>
      </w:r>
      <w:r>
        <w:rPr>
          <w:rFonts w:hint="cs"/>
          <w:rtl/>
        </w:rPr>
        <w:tab/>
        <w:t xml:space="preserve">בחקירתו הנגדית ביום 14.3.2022, תיאר העד ששלוש פעמים במהלך שהותו בכלא נכנסו לכלא שוטרים מיחידה מיוחדת  לאחר שהוזמנו על ידי שירותי הכלא, משום שאמרו להם שהאסירים עושים בלגאן והיחידה המיוחדת היתה עורכת מעין "מבצע" ובמהלכו מכה את האסירים (עמ' 100 שו' 16, עמ' 101 שו' 2). </w:t>
      </w:r>
    </w:p>
    <w:p w:rsidR="0047397E" w:rsidRPr="00150DC6" w:rsidRDefault="0047397E" w:rsidP="0047397E">
      <w:pPr>
        <w:pStyle w:val="Ruller41"/>
        <w:rPr>
          <w:sz w:val="12"/>
          <w:szCs w:val="18"/>
          <w:rtl/>
        </w:rPr>
      </w:pPr>
    </w:p>
    <w:p w:rsidR="0047397E" w:rsidRDefault="0047397E" w:rsidP="0047397E">
      <w:pPr>
        <w:pStyle w:val="Ruller41"/>
        <w:rPr>
          <w:rtl/>
        </w:rPr>
      </w:pPr>
      <w:r>
        <w:rPr>
          <w:rFonts w:hint="cs"/>
          <w:rtl/>
        </w:rPr>
        <w:t>43.</w:t>
      </w:r>
      <w:r>
        <w:rPr>
          <w:rFonts w:hint="cs"/>
          <w:rtl/>
        </w:rPr>
        <w:tab/>
        <w:t xml:space="preserve">העד רג'וב תיאר בתצהירו שהוא שהה עם התובע במשך 3 שנים בכלא דהריה וכי במהלך מעצרו ומאסרו הוא חווה עינויים קשים הן במהלך החקירה והן בתא הכלא </w:t>
      </w:r>
      <w:r>
        <w:rPr>
          <w:rFonts w:hint="cs"/>
          <w:rtl/>
        </w:rPr>
        <w:lastRenderedPageBreak/>
        <w:t xml:space="preserve">יחד עם אסירים נוספים וביניהן התובע. העד מתאר שהיו נכנסים לתא הכלא רעולי פנים חמושים באלות והיו מענים ומכים אותם בכל חלקי גופם עם אלות. </w:t>
      </w:r>
    </w:p>
    <w:p w:rsidR="0047397E" w:rsidRDefault="0047397E" w:rsidP="0047397E">
      <w:pPr>
        <w:pStyle w:val="Ruller41"/>
        <w:rPr>
          <w:rtl/>
        </w:rPr>
      </w:pPr>
    </w:p>
    <w:p w:rsidR="0047397E" w:rsidRDefault="0047397E" w:rsidP="0047397E">
      <w:pPr>
        <w:pStyle w:val="Ruller41"/>
        <w:rPr>
          <w:rtl/>
        </w:rPr>
      </w:pPr>
      <w:r>
        <w:rPr>
          <w:rFonts w:hint="cs"/>
          <w:rtl/>
        </w:rPr>
        <w:t>44.</w:t>
      </w:r>
      <w:r>
        <w:rPr>
          <w:rFonts w:hint="cs"/>
          <w:rtl/>
        </w:rPr>
        <w:tab/>
        <w:t>בחקירתו סיפר רג'וב שהוא שהה עם התובע גם בכלא בדהריה וגם בכלא ביריחו וכי הוא לא תיאר בתצהיר את התקופה ביריחו משום שהתמקד בתקופה שבו הם חוו עינויים והם חוו עינויים  רק בכלא בדהריה ולא בכלא ביריחו (שם, עמ' 106). העד נשאל כיצד זה לא התלונן בפני השופטים על כך שעינו אותו בחקירות והוא השיב "</w:t>
      </w:r>
      <w:r w:rsidRPr="00441C9F">
        <w:rPr>
          <w:rFonts w:ascii="Miriam" w:hAnsi="Miriam" w:cs="Miriam"/>
          <w:sz w:val="24"/>
          <w:szCs w:val="24"/>
          <w:rtl/>
        </w:rPr>
        <w:t>השופטים שם והתביעה שם כולם אות</w:t>
      </w:r>
      <w:r w:rsidRPr="00C46C05">
        <w:rPr>
          <w:rFonts w:ascii="Miriam" w:hAnsi="Miriam" w:cs="Miriam" w:hint="cs"/>
          <w:color w:val="000000" w:themeColor="text1"/>
          <w:sz w:val="24"/>
          <w:szCs w:val="24"/>
          <w:rtl/>
        </w:rPr>
        <w:t>ה</w:t>
      </w:r>
      <w:r w:rsidRPr="00C46C05">
        <w:rPr>
          <w:rFonts w:ascii="Miriam" w:hAnsi="Miriam" w:cs="Miriam"/>
          <w:color w:val="000000" w:themeColor="text1"/>
          <w:sz w:val="24"/>
          <w:szCs w:val="24"/>
          <w:rtl/>
        </w:rPr>
        <w:t xml:space="preserve"> </w:t>
      </w:r>
      <w:r w:rsidRPr="00441C9F">
        <w:rPr>
          <w:rFonts w:ascii="Miriam" w:hAnsi="Miriam" w:cs="Miriam"/>
          <w:sz w:val="24"/>
          <w:szCs w:val="24"/>
          <w:rtl/>
        </w:rPr>
        <w:t>מדינה</w:t>
      </w:r>
      <w:r>
        <w:rPr>
          <w:rFonts w:hint="cs"/>
          <w:rtl/>
        </w:rPr>
        <w:t xml:space="preserve">" (שם, עמ' 110). העד מתאר שבכל פעם שחשדו שמשהו משתף פעולה עם ישראל היו נכנסים לתא ומרביצים להם (שם, עמ' 113 שו' 8 -4). כן הצביע רג'וב על שיטת עינויים דומה לזו שעבר התובע באמצעות החדרת בקבוקי זכוכית לפי הטבעת (שם, עמ' 114 שו' 17). </w:t>
      </w:r>
    </w:p>
    <w:p w:rsidR="0047397E" w:rsidRDefault="0047397E" w:rsidP="0047397E">
      <w:pPr>
        <w:pStyle w:val="Ruller41"/>
        <w:rPr>
          <w:rtl/>
        </w:rPr>
      </w:pPr>
    </w:p>
    <w:p w:rsidR="0047397E" w:rsidRDefault="0047397E" w:rsidP="0047397E">
      <w:pPr>
        <w:pStyle w:val="Ruller41"/>
        <w:rPr>
          <w:rtl/>
        </w:rPr>
      </w:pPr>
      <w:r>
        <w:rPr>
          <w:rFonts w:hint="cs"/>
          <w:rtl/>
        </w:rPr>
        <w:t>45.</w:t>
      </w:r>
      <w:r>
        <w:rPr>
          <w:rFonts w:hint="cs"/>
          <w:rtl/>
        </w:rPr>
        <w:tab/>
        <w:t xml:space="preserve">הרש"פ טוענת כי גרסת התובע בקשר לעינויים היא עדות יחידה של בעל דין, הכוללת תיאורים מגמתיים וערטילאיים מפרי דמיונו של התובע, כאשר מנגד עומדת שורה ארוכה של עדים מטעמה שהכחישו את הטענות מכל וכל. התובע אף לא המציא כל תיעוד רפואי ולא העיד רופאים שיתמכו בטענותיו לעניין העינויים. לטענת הרש"פ אילו היה ממש בטענות התובע, הדבר היה בא לידי ביטוי אובייקטיבי בתיעוד רפואי מן התקופה שבה הגיע לישראל מיד לאחר שחרורו מן הכלא. התובע לא הביא תיעוד רפואי אובייקטיבי ממועד שחרורו מן הכלא הפלסטיני ולטענת הרש"פ הדבר פועל לחובתו. כן טוענת הרש"פ שבעדותו של התובע נפלו סתירות בכל הנוגע למועדים שבהם שהה בבתי הכלא השונים ברש"פ ושהעובדה שהוא שהה בכלא דהריה כלל לא הוזכרה בכתב התביעה או בתצהיר שם תיאר רק את המעצר בדורא. כן טוענת הרש"פ שהטענה לפיה הוא נחקר לאחר מתן גזר הדין לא נטענה בכתב התביעה או בתצהיר אלא עלתה לראשונה בחקירתו הנגדית, וכך גם הטענות החדשות כאילו החקירות נעשו משום שחשבו שהוא מגייס אנשים בתוך הכלא לשב"כ הישראלי או שהגיעו יחידות מיוחדות שהרביצו לסייענים. לטענת הרש"פ מדובר בהרחבת חזית ואין להכיר בטענות חדשות שנטענו לראשונה בחקירה הנגדית.  </w:t>
      </w:r>
    </w:p>
    <w:p w:rsidR="0047397E" w:rsidRDefault="0047397E" w:rsidP="0047397E">
      <w:pPr>
        <w:pStyle w:val="Ruller41"/>
        <w:rPr>
          <w:rtl/>
        </w:rPr>
      </w:pPr>
    </w:p>
    <w:p w:rsidR="0047397E" w:rsidRDefault="0047397E" w:rsidP="0047397E">
      <w:pPr>
        <w:pStyle w:val="Ruller41"/>
        <w:rPr>
          <w:rtl/>
        </w:rPr>
      </w:pPr>
      <w:r>
        <w:rPr>
          <w:rFonts w:hint="cs"/>
          <w:rtl/>
        </w:rPr>
        <w:lastRenderedPageBreak/>
        <w:t>46.</w:t>
      </w:r>
      <w:r>
        <w:rPr>
          <w:rFonts w:hint="cs"/>
          <w:rtl/>
        </w:rPr>
        <w:tab/>
        <w:t>סתירה נוספת מוצאת הרש"פ בכך שהתובע טען בתצהירו שבכל תקופת כליאתו הוא עונה על ידי הרש"פ ואילו העד מטעמו, רג'וב העיד שבעת שהייתם בכלא יריחו לא היו עינויים. סתירות נוספות מוצאת הרש"פ בכך שהתובע טען שהוא לא נבדק על ידי רופאים בעוד שמהתיק הרפואי שלו בכלא וכן מהתצהירים של הרופאים שטיפלו בו בכלא עולה שהוא נבדק על ידי רופאי הכלא. לעניין זה יאמר כבר כי הגם שהתובע ציין בחקירתו שלא נבדק על ידי רופאים בכלא הוא למעשה אישר שקיבל טיפול רפואי כאשר מצד אחד אמר "</w:t>
      </w:r>
      <w:r w:rsidRPr="00D800D1">
        <w:rPr>
          <w:rFonts w:ascii="Miriam" w:hAnsi="Miriam" w:cs="Miriam"/>
          <w:sz w:val="24"/>
          <w:szCs w:val="24"/>
          <w:rtl/>
        </w:rPr>
        <w:t>לא נבדקתי על ידי אף אחד</w:t>
      </w:r>
      <w:r>
        <w:rPr>
          <w:rFonts w:hint="cs"/>
          <w:rtl/>
        </w:rPr>
        <w:t>" אך מיד לאחר מכן אמר "</w:t>
      </w:r>
      <w:r w:rsidRPr="00D800D1">
        <w:rPr>
          <w:rFonts w:ascii="Miriam" w:hAnsi="Miriam" w:cs="Miriam"/>
          <w:sz w:val="24"/>
          <w:szCs w:val="24"/>
          <w:rtl/>
        </w:rPr>
        <w:t>הייתי ביריחו עם רופא נפשי.. נתנו לי הרבה תרופות</w:t>
      </w:r>
      <w:r>
        <w:rPr>
          <w:rFonts w:hint="cs"/>
          <w:rtl/>
        </w:rPr>
        <w:t>"  וכן מצד אחד אמר "</w:t>
      </w:r>
      <w:r w:rsidRPr="00D800D1">
        <w:rPr>
          <w:rFonts w:ascii="Miriam" w:hAnsi="Miriam" w:cs="Miriam"/>
          <w:sz w:val="24"/>
          <w:szCs w:val="24"/>
          <w:rtl/>
        </w:rPr>
        <w:t>לא ראיתי רופאים</w:t>
      </w:r>
      <w:r>
        <w:rPr>
          <w:rFonts w:hint="cs"/>
          <w:rtl/>
        </w:rPr>
        <w:t>" ומיד לאחר מכן "</w:t>
      </w:r>
      <w:r w:rsidRPr="00D800D1">
        <w:rPr>
          <w:rFonts w:ascii="Miriam" w:hAnsi="Miriam" w:cs="Miriam"/>
          <w:sz w:val="24"/>
          <w:szCs w:val="24"/>
          <w:rtl/>
        </w:rPr>
        <w:t>היה רופא ביריחו בשם מהר והוא נתן לי תרופות</w:t>
      </w:r>
      <w:r>
        <w:rPr>
          <w:rFonts w:hint="cs"/>
          <w:rtl/>
        </w:rPr>
        <w:t xml:space="preserve">" (עמ' 19 שו' 18 עמ' 20 שו' 15). לכן לא מצאתי בעניין זה כל סתירה. עיון בעדותו של התובע מלמד כי כוונתו הייתה לכך שלא פגש רופא שבפניו הוא התלונן על העינויים ולא שלא פגש כלל רופאים בעת שהותו בכלא (עמ' 20 שו' 13). </w:t>
      </w:r>
    </w:p>
    <w:p w:rsidR="0047397E" w:rsidRDefault="0047397E" w:rsidP="0047397E">
      <w:pPr>
        <w:pStyle w:val="Ruller41"/>
        <w:rPr>
          <w:rtl/>
        </w:rPr>
      </w:pPr>
    </w:p>
    <w:p w:rsidR="0047397E" w:rsidRDefault="0047397E" w:rsidP="0047397E">
      <w:pPr>
        <w:pStyle w:val="Ruller41"/>
        <w:rPr>
          <w:rtl/>
        </w:rPr>
      </w:pPr>
      <w:r>
        <w:rPr>
          <w:rFonts w:hint="cs"/>
          <w:rtl/>
        </w:rPr>
        <w:t>47.</w:t>
      </w:r>
      <w:r>
        <w:rPr>
          <w:rFonts w:hint="cs"/>
          <w:rtl/>
        </w:rPr>
        <w:tab/>
        <w:t>אשר לעדות של שרווני טוענת הרש"פ שהוא פגש את התובע רק לאחר מתן גזר הדין ולכן הוא אינו יכול להעיד על מה אירע לו בזמן החקירות. כן נטען כי העובדה שרווני תיאר בסעיף 4 לתצהירו "</w:t>
      </w:r>
      <w:r w:rsidRPr="00066EA9">
        <w:rPr>
          <w:rFonts w:ascii="Miriam" w:hAnsi="Miriam" w:cs="Miriam"/>
          <w:sz w:val="24"/>
          <w:szCs w:val="24"/>
          <w:rtl/>
        </w:rPr>
        <w:t>חפלה</w:t>
      </w:r>
      <w:r>
        <w:rPr>
          <w:rFonts w:hint="cs"/>
          <w:rtl/>
        </w:rPr>
        <w:t>" שבה היו מוציאים את התובע בעיניים מכוסות לחצר בית הכלא ושם מתעללים בו כשהוא מחזיק בקבוקי מים, בעוד שהתובע תיאר "</w:t>
      </w:r>
      <w:r w:rsidRPr="00066EA9">
        <w:rPr>
          <w:rFonts w:ascii="Miriam" w:hAnsi="Miriam" w:cs="Miriam"/>
          <w:sz w:val="24"/>
          <w:szCs w:val="24"/>
          <w:rtl/>
        </w:rPr>
        <w:t>חפלה</w:t>
      </w:r>
      <w:r>
        <w:rPr>
          <w:rFonts w:hint="cs"/>
          <w:rtl/>
        </w:rPr>
        <w:t>" ובקבוקי מים כדבר שאירע לו בזמן החקירות ולא בכלא דהריה (סעיף 8 לתצהיר התובע), מלמדת על ניסיון לתיאום גרסאות שלא הצליח. מנגד, גם מחריק וגם רג'וב ציינו בעדותם שהן כלל לא נתקלו במילה "</w:t>
      </w:r>
      <w:r w:rsidRPr="00066EA9">
        <w:rPr>
          <w:rFonts w:ascii="Miriam" w:hAnsi="Miriam" w:cs="Miriam"/>
          <w:sz w:val="24"/>
          <w:szCs w:val="24"/>
          <w:rtl/>
        </w:rPr>
        <w:t>חפלה</w:t>
      </w:r>
      <w:r>
        <w:rPr>
          <w:rFonts w:hint="cs"/>
          <w:rtl/>
        </w:rPr>
        <w:t>" ( עמ' 100 שו' 11-8 ועמ' 112 שו' 28-24) ומכאן ראיה נוספת לתיאום גרסאות. אלא שהרש"פ לא דייקה כלל (בלשון המטעה). מחריק הזכיר גם הזכיר "</w:t>
      </w:r>
      <w:r w:rsidRPr="00066EA9">
        <w:rPr>
          <w:rFonts w:ascii="Miriam" w:hAnsi="Miriam" w:cs="Miriam"/>
          <w:sz w:val="24"/>
          <w:szCs w:val="24"/>
          <w:rtl/>
        </w:rPr>
        <w:t>חפלה</w:t>
      </w:r>
      <w:r>
        <w:rPr>
          <w:rFonts w:hint="cs"/>
          <w:rtl/>
        </w:rPr>
        <w:t xml:space="preserve">" בעדותו </w:t>
      </w:r>
      <w:r>
        <w:rPr>
          <w:rFonts w:hint="cs"/>
          <w:color w:val="FF0000"/>
          <w:rtl/>
        </w:rPr>
        <w:t xml:space="preserve">, </w:t>
      </w:r>
      <w:r>
        <w:rPr>
          <w:rFonts w:hint="cs"/>
          <w:rtl/>
        </w:rPr>
        <w:t>כאשר תיאר שעשו מבצע ונכנסו כוחות לבית הכלא, מחריק נשאל מה זה מבצע? והוא השיב "</w:t>
      </w:r>
      <w:r w:rsidRPr="00066EA9">
        <w:rPr>
          <w:rFonts w:ascii="Miriam" w:hAnsi="Miriam" w:cs="Miriam"/>
          <w:sz w:val="24"/>
          <w:szCs w:val="24"/>
          <w:rtl/>
        </w:rPr>
        <w:t xml:space="preserve">צריכים לעשות חפלה, מה שהם מתכוונים, שהם נכנסים להרביץ לעשות מכל האנשים </w:t>
      </w:r>
      <w:r>
        <w:rPr>
          <w:rFonts w:ascii="Miriam" w:hAnsi="Miriam" w:cs="Miriam" w:hint="cs"/>
          <w:sz w:val="24"/>
          <w:szCs w:val="24"/>
          <w:rtl/>
        </w:rPr>
        <w:t xml:space="preserve">להושיב </w:t>
      </w:r>
      <w:r w:rsidRPr="00066EA9">
        <w:rPr>
          <w:rFonts w:ascii="Miriam" w:hAnsi="Miriam" w:cs="Miriam"/>
          <w:sz w:val="24"/>
          <w:szCs w:val="24"/>
          <w:rtl/>
        </w:rPr>
        <w:t xml:space="preserve">אותם על </w:t>
      </w:r>
      <w:r>
        <w:rPr>
          <w:rFonts w:ascii="Miriam" w:hAnsi="Miriam" w:cs="Miriam" w:hint="cs"/>
          <w:sz w:val="24"/>
          <w:szCs w:val="24"/>
          <w:rtl/>
        </w:rPr>
        <w:t>ה</w:t>
      </w:r>
      <w:r w:rsidRPr="00066EA9">
        <w:rPr>
          <w:rFonts w:ascii="Miriam" w:hAnsi="Miriam" w:cs="Miriam"/>
          <w:sz w:val="24"/>
          <w:szCs w:val="24"/>
          <w:rtl/>
        </w:rPr>
        <w:t>רצפה, סמרטוט</w:t>
      </w:r>
      <w:r>
        <w:rPr>
          <w:rFonts w:hint="cs"/>
          <w:rtl/>
        </w:rPr>
        <w:t>" (עמ' 100 שו' 29). לכן אין ממש בטענות להעדר מהימנות בנושא תיאור ה"</w:t>
      </w:r>
      <w:r w:rsidRPr="00066EA9">
        <w:rPr>
          <w:rFonts w:ascii="Miriam" w:hAnsi="Miriam" w:cs="Miriam"/>
          <w:sz w:val="24"/>
          <w:szCs w:val="24"/>
          <w:rtl/>
        </w:rPr>
        <w:t>חפלות</w:t>
      </w:r>
      <w:r>
        <w:rPr>
          <w:rFonts w:hint="cs"/>
          <w:rtl/>
        </w:rPr>
        <w:t>". באופן כללי יוער כי הרושם הוא שהאופן שבו עדי התובע השיבו לשאלות, נבע לעיתים מאי הבנת השאלה ולא מסתירות בדבריהם. כך בענייננו, מחריק ענה תחילה  שלא נתקל במילה "</w:t>
      </w:r>
      <w:r w:rsidRPr="00066EA9">
        <w:rPr>
          <w:rFonts w:ascii="Miriam" w:hAnsi="Miriam" w:cs="Miriam"/>
          <w:sz w:val="24"/>
          <w:szCs w:val="24"/>
          <w:rtl/>
        </w:rPr>
        <w:t>חפלה</w:t>
      </w:r>
      <w:r>
        <w:rPr>
          <w:rFonts w:hint="cs"/>
          <w:rtl/>
        </w:rPr>
        <w:t xml:space="preserve">" ומיד לאחר מכן הוא משתמש בה כאשר רוצה לתאר מבצע </w:t>
      </w:r>
      <w:r>
        <w:rPr>
          <w:rFonts w:hint="cs"/>
          <w:rtl/>
        </w:rPr>
        <w:lastRenderedPageBreak/>
        <w:t xml:space="preserve">של הכוחות המיוחדים. סתירות נוספות מצאה הרש"פ בכך  ששרווני סיפר שהיו מוציאים אותם לעבוד ולעשות כל מיני דברים  (עמ' 27 שו' 2-1) ואילו מחריק ורג'וב העידו שכל הזמן היו בחדר והיו יוצאים לחצי שעה בכל יום לחצר (עמ' 98 שו' 7-5 עמ' 112 שו' 18-13). העדים לא עומתו האחד עם דברי השני וגם בעניין זה איני סבורה שמדובר בסתירה אלא במתן דגש שונה על האופן שבו העבירו את זמנם בכלא. </w:t>
      </w:r>
    </w:p>
    <w:p w:rsidR="0047397E" w:rsidRDefault="0047397E" w:rsidP="0047397E">
      <w:pPr>
        <w:pStyle w:val="Ruller41"/>
        <w:rPr>
          <w:rtl/>
        </w:rPr>
      </w:pPr>
    </w:p>
    <w:p w:rsidR="0047397E" w:rsidRDefault="0047397E" w:rsidP="0047397E">
      <w:pPr>
        <w:pStyle w:val="Ruller41"/>
        <w:rPr>
          <w:rtl/>
        </w:rPr>
      </w:pPr>
      <w:r>
        <w:rPr>
          <w:rFonts w:hint="cs"/>
          <w:rtl/>
        </w:rPr>
        <w:t>48.</w:t>
      </w:r>
      <w:r>
        <w:rPr>
          <w:rFonts w:hint="cs"/>
          <w:rtl/>
        </w:rPr>
        <w:tab/>
        <w:t>לגבי העד מחריק, טוענת הרש"פ כי מדובר בעד שבעצמו הגיש תביעה נגד הרש"פ ולכן הוא בעל עניין. כן נטען שמחריק סתר עצמו כאשר אמר ששהה עם התובע כשנה בכלא דהריה אך מהתאריכים שהציג עולה שהוא שהה עמו רק 6 חודשים. מכאן גם הסיקה הרש"פ על תיאום גרסאות בין התובע ובין מחריק בנוגע למספר הפעמים שבו נכנסו הכוחות מיוחדים ועינו אותם. גם התובע וגם מחריק מציינים שהכוחות נכנסו 3 פעמים כאשר אין כלל חפיפה בין תקופות המאסר של השניים ומכאן שתיאמו את המספר מבלי לתת את הדעת לתקופות השהות השונות בכלא. אין לקבל טענה זו. איני סבורה שהגרסאות לעניין כניסת הכוחות המיוחדים תואמו. עיון בגרסאות התובע ומחריק מלמד ששניהם מדברים על תקופה של כשנה שבה שהו יחד בכלא דהריה ושבה נכנסו הכוחות המיוחדים שלוש פעמים באופן שתואר. אמנם מחריק העיד שהוא חושב שהתובע הגיע לכלא דהריה בחודש נובמבר 2014  (עמ' 95 שו' 28-27) ונוכח שחרורו של התובע באפריל 2015 אכן מדובר בתקופה בת 6 חודשים, ולא שנה כפי שהעידו גם התובע וגם מחריק לגבי תקופת השהות יחד בדהריה. אולם מחריק ציין בעדותו שהתובע "</w:t>
      </w:r>
      <w:r w:rsidRPr="00E1442C">
        <w:rPr>
          <w:rFonts w:ascii="Miriam" w:hAnsi="Miriam" w:cs="Miriam"/>
          <w:sz w:val="24"/>
          <w:szCs w:val="24"/>
          <w:rtl/>
        </w:rPr>
        <w:t xml:space="preserve">הגיע </w:t>
      </w:r>
      <w:r w:rsidRPr="00E1442C">
        <w:rPr>
          <w:rFonts w:ascii="Miriam" w:hAnsi="Miriam" w:cs="Miriam"/>
          <w:sz w:val="24"/>
          <w:szCs w:val="24"/>
          <w:u w:val="single"/>
          <w:rtl/>
        </w:rPr>
        <w:t>אולי</w:t>
      </w:r>
      <w:r w:rsidRPr="00E1442C">
        <w:rPr>
          <w:rFonts w:ascii="Miriam" w:hAnsi="Miriam" w:cs="Miriam"/>
          <w:sz w:val="24"/>
          <w:szCs w:val="24"/>
          <w:rtl/>
        </w:rPr>
        <w:t xml:space="preserve"> בחודש 11"</w:t>
      </w:r>
      <w:r>
        <w:rPr>
          <w:rFonts w:hint="cs"/>
          <w:rtl/>
        </w:rPr>
        <w:t xml:space="preserve"> ואיני סבורה שבכך שלא זכר את המועד המדויק שבו הוא נפגש עם התובע בכלא, יש כדי להפחית מן המשקל של עדותו המחזקת מאוד את העדות התובע לפיה בשנה האחרונה לשהותו בכלא בדהריה, הכוחות המיוחדים נכנסו שלוש פעמים ועינו אותם. ובלשונו של התובע: "</w:t>
      </w:r>
      <w:r w:rsidRPr="00371DDB">
        <w:rPr>
          <w:rFonts w:ascii="Miriam" w:hAnsi="Miriam" w:cs="Miriam"/>
          <w:sz w:val="24"/>
          <w:szCs w:val="24"/>
          <w:rtl/>
        </w:rPr>
        <w:t>בתקופה האחרונה הייתה ב</w:t>
      </w:r>
      <w:r>
        <w:rPr>
          <w:rFonts w:ascii="Miriam" w:hAnsi="Miriam" w:cs="Miriam"/>
          <w:sz w:val="24"/>
          <w:szCs w:val="24"/>
          <w:rtl/>
        </w:rPr>
        <w:t>דהריה</w:t>
      </w:r>
      <w:r w:rsidRPr="00371DDB">
        <w:rPr>
          <w:rFonts w:ascii="Miriam" w:hAnsi="Miriam" w:cs="Miriam"/>
          <w:sz w:val="24"/>
          <w:szCs w:val="24"/>
          <w:rtl/>
        </w:rPr>
        <w:t>...</w:t>
      </w:r>
      <w:r>
        <w:rPr>
          <w:rFonts w:ascii="Miriam" w:hAnsi="Miriam" w:cs="Miriam" w:hint="cs"/>
          <w:sz w:val="24"/>
          <w:szCs w:val="24"/>
          <w:rtl/>
        </w:rPr>
        <w:t xml:space="preserve">בדהריה היתה שנה אחרונה </w:t>
      </w:r>
      <w:r w:rsidRPr="00371DDB">
        <w:rPr>
          <w:rFonts w:ascii="Miriam" w:hAnsi="Miriam" w:cs="Miriam"/>
          <w:sz w:val="24"/>
          <w:szCs w:val="24"/>
          <w:rtl/>
        </w:rPr>
        <w:t>קיבלתי שם מכות הפרדות, ישבתי על בקבוקים הייתי קשור עם חוטים ערום....זרקו אותי לחקירות מחדש...החקירות בתוך הכלא היו בגלל שחשבו שאני מגייס אנשים בתוך הכלא לשב"כ הישראלי...הם מביאים יס"מ ועושים</w:t>
      </w:r>
      <w:r>
        <w:rPr>
          <w:rFonts w:ascii="Miriam" w:hAnsi="Miriam" w:cs="Miriam" w:hint="cs"/>
          <w:sz w:val="24"/>
          <w:szCs w:val="24"/>
          <w:rtl/>
        </w:rPr>
        <w:t xml:space="preserve"> </w:t>
      </w:r>
      <w:r w:rsidRPr="00371DDB">
        <w:rPr>
          <w:rFonts w:ascii="Miriam" w:hAnsi="Miriam" w:cs="Miriam"/>
          <w:sz w:val="24"/>
          <w:szCs w:val="24"/>
          <w:rtl/>
        </w:rPr>
        <w:t>תרגיל מרביצים...הוציאו את החדר שלנו בחוץ ואז הביאו כוחות מיוחדים, הם לא דברו והרביצו הם נכנסו כמו משוגעים, לא מסתכלים איפה הם זורקים את המקל...זה קרה אולי 3 פעמים בכלא</w:t>
      </w:r>
      <w:r>
        <w:rPr>
          <w:rFonts w:hint="cs"/>
          <w:rtl/>
        </w:rPr>
        <w:t xml:space="preserve">" 0עמ' 14 שו' 19-3 לפרוטוקול מיום 2.11.2021).  לעדות זו </w:t>
      </w:r>
      <w:r>
        <w:rPr>
          <w:rFonts w:hint="cs"/>
          <w:rtl/>
        </w:rPr>
        <w:lastRenderedPageBreak/>
        <w:t xml:space="preserve">כאמור נמצא  חיזוק ממשי בעדות של מחריק. לא התרשמתי כלל שהעדויות תואמו. להיפך התרשמתי כי מדובר בעדויות מהימנות. </w:t>
      </w:r>
    </w:p>
    <w:p w:rsidR="0047397E" w:rsidRPr="00150DC6" w:rsidRDefault="0047397E" w:rsidP="0047397E">
      <w:pPr>
        <w:pStyle w:val="Ruller41"/>
        <w:rPr>
          <w:sz w:val="12"/>
          <w:szCs w:val="18"/>
          <w:rtl/>
        </w:rPr>
      </w:pPr>
    </w:p>
    <w:p w:rsidR="0047397E" w:rsidRDefault="0047397E" w:rsidP="0047397E">
      <w:pPr>
        <w:pStyle w:val="Ruller41"/>
        <w:rPr>
          <w:rtl/>
        </w:rPr>
      </w:pPr>
      <w:r>
        <w:rPr>
          <w:rtl/>
        </w:rPr>
        <w:tab/>
      </w:r>
      <w:r>
        <w:rPr>
          <w:rFonts w:hint="cs"/>
          <w:rtl/>
        </w:rPr>
        <w:t xml:space="preserve">הרש"פ טוענת לסתירות נוספות בעדותו של מחריק שעה שאמר תחילה שלאחר שהתובע ניסה להתאבד הוא נשלח לצינוק ל- 14 ימים אך בהמשך שינה ואמר שהתובע שהה בצינוק רק 6 ימים. ובדומה לכך, טען תחילה שהתובע ניסה להתאבד בחדרו ולאחר מכן טען שניסה להתאבד בצינוק. תחילה טען שראה שהחוקרים מכים את התובע בחצר הכלא ובהמשך טען שבכלל נלקח למתקן החקירות והוא לא ראה מה עושים לו החוקרים. כן טוענת הרש"פ שהתובע טוען שניסה להתאבד פעמיים ואילו מחריק מספר רק על פעם אחת.  </w:t>
      </w:r>
    </w:p>
    <w:p w:rsidR="0047397E" w:rsidRDefault="0047397E" w:rsidP="0047397E">
      <w:pPr>
        <w:pStyle w:val="Ruller41"/>
        <w:rPr>
          <w:rtl/>
        </w:rPr>
      </w:pPr>
    </w:p>
    <w:p w:rsidR="0047397E" w:rsidRDefault="0047397E" w:rsidP="0047397E">
      <w:pPr>
        <w:pStyle w:val="Ruller41"/>
        <w:rPr>
          <w:rtl/>
        </w:rPr>
      </w:pPr>
      <w:r>
        <w:rPr>
          <w:rFonts w:hint="cs"/>
          <w:rtl/>
        </w:rPr>
        <w:t>49.</w:t>
      </w:r>
      <w:r>
        <w:rPr>
          <w:rFonts w:hint="cs"/>
          <w:rtl/>
        </w:rPr>
        <w:tab/>
        <w:t xml:space="preserve">גם לגבי העד רג'וב טוענת הרש"פ שהוא הגיש נגדה תביעה ולכן הוא בעל עניין ואין לתת אמון בדבריו. כן טוענת הרש"פ כי תיאור התאריכים שבהם טוען רג'וב ששהה עם התובע אינם מגיעים כדי תקופה בת 3 שנים עם התובע בדהריה כפי שטען בחקירתו. כמו כן אישר שלא ראה את התובע חוץ מאשר בחדרו ומכאן שלא יודע עם עונה מחוץ לחדרו.  </w:t>
      </w:r>
    </w:p>
    <w:p w:rsidR="0047397E" w:rsidRDefault="0047397E" w:rsidP="0047397E">
      <w:pPr>
        <w:pStyle w:val="Ruller41"/>
        <w:rPr>
          <w:rtl/>
        </w:rPr>
      </w:pPr>
    </w:p>
    <w:p w:rsidR="0047397E" w:rsidRDefault="0047397E" w:rsidP="0047397E">
      <w:pPr>
        <w:pStyle w:val="Ruller41"/>
        <w:rPr>
          <w:rtl/>
        </w:rPr>
      </w:pPr>
      <w:r>
        <w:rPr>
          <w:rFonts w:hint="cs"/>
          <w:rtl/>
        </w:rPr>
        <w:t>50.</w:t>
      </w:r>
      <w:r>
        <w:rPr>
          <w:rFonts w:hint="cs"/>
          <w:rtl/>
        </w:rPr>
        <w:tab/>
        <w:t xml:space="preserve">הרש"פ העידה מספר רב של עדים, כולם נושאי תפקידים ברש"פ, למעט מחמוד סעד, ששהה בכלא יחד עם התובע והורשע אף הוא בשיתוף פעולה עם ישראל. כל העדים העידו, שהרש"פ ככלל לא מענה את העצורים והאסירים שלה, ואף לא עינתה את התובע. הרש"פ מפנה לעדות של השופט פארס דודה שהיה נשיא בית הדין וראש ההרכב שדן את התובע וכן לעדות של השופט פאדי מוחמד חג'זי, שציינו בתצהיריהם שהתובע יוצג על ידי עו"ד יוסף רבעי ושבשום שלב במהלך הדיונים לא הועלתה הטענה לעינויים או מכות בחקירות, ואילו הטענה הייתה נטענת היא הייתה מקבלת ביטוי בפרוטוקולים. הרש"פ מפנה לתיעוד מתיק החקירה בו מצויין במפורש שההודעות נתנו מתוך רצון חופשי (ראו עמ' 56 לראיות הנתבעת) ולטענתה אין לקבל את הטענה הכבושה של התובע כאילו הוא חתם על ניירות לבנים. כפי שציינתי לעיל, אכן איני מקבלת את טענת התובע לפיה הוא חתם על ניירות לבנים ואולם אין בכך כדי להעיד על אמיתות תכנם של הפרוטוקולים. </w:t>
      </w:r>
      <w:r>
        <w:rPr>
          <w:rFonts w:hint="cs"/>
          <w:rtl/>
        </w:rPr>
        <w:lastRenderedPageBreak/>
        <w:t>אם נכונות טענות התובע בקשר לעינויים שחווה, ממילא אין בעובדה שהוא מאשר שחתם מרצונו החופשי וללא עינויים, כדי ללמד שאכן כך היו פני הדברים.</w:t>
      </w:r>
    </w:p>
    <w:p w:rsidR="0047397E" w:rsidRDefault="0047397E" w:rsidP="0047397E">
      <w:pPr>
        <w:pStyle w:val="Ruller41"/>
        <w:rPr>
          <w:rtl/>
        </w:rPr>
      </w:pPr>
    </w:p>
    <w:p w:rsidR="0047397E" w:rsidRDefault="0047397E" w:rsidP="0047397E">
      <w:pPr>
        <w:pStyle w:val="Ruller41"/>
        <w:rPr>
          <w:rtl/>
        </w:rPr>
      </w:pPr>
      <w:r>
        <w:rPr>
          <w:rFonts w:hint="cs"/>
          <w:rtl/>
        </w:rPr>
        <w:t>51.</w:t>
      </w:r>
      <w:r>
        <w:rPr>
          <w:rFonts w:hint="cs"/>
          <w:rtl/>
        </w:rPr>
        <w:tab/>
        <w:t xml:space="preserve">גם העד ראאד טאהר עמירה המשמש כסגן נשיא בבית המשפט הצבאי וכשופט בבית המשפט הצבאי העליון ציין בתצהירו שהתובע לא נחשף לעינויים וכי אילו הדבר היה נכון סניגורו היה מעלה זאת בפני בית המשפט. כן מציין העד שתיקו הרפואי של התובע שהוגש על ידי הרש"פ, מלמד על כך שהתובע קיבל טיפול רפואי מעת לעת. העד תיאר שבשנת 2008 הוא שימש היועץ המשפטי בביטחון המסכל וכי בארגון זה לא מכים ולא מענים. </w:t>
      </w:r>
    </w:p>
    <w:p w:rsidR="0047397E" w:rsidRDefault="0047397E" w:rsidP="0047397E">
      <w:pPr>
        <w:pStyle w:val="Ruller41"/>
        <w:rPr>
          <w:rtl/>
        </w:rPr>
      </w:pPr>
    </w:p>
    <w:p w:rsidR="0047397E" w:rsidRDefault="0047397E" w:rsidP="0047397E">
      <w:pPr>
        <w:pStyle w:val="Ruller41"/>
        <w:rPr>
          <w:rtl/>
        </w:rPr>
      </w:pPr>
      <w:r>
        <w:rPr>
          <w:rFonts w:hint="cs"/>
          <w:rtl/>
        </w:rPr>
        <w:t>52.</w:t>
      </w:r>
      <w:r>
        <w:rPr>
          <w:rFonts w:hint="cs"/>
          <w:rtl/>
        </w:rPr>
        <w:tab/>
        <w:t xml:space="preserve">בדומה לכך העיד גם מוחמד עותמאן קמרי שהיה אחראי על צוות החקירות של המודיעין הכללי מאמצע שנת 2007 ועד סוף שנת 2008. העד תיאר בתצהירו שהתובע נחקר על ידי חוקר בשם מוראד אבו רומיה שנפטר לפני כשנה וכי הוא עקב אחר החקירה וקיבל עדכונים. לטענתו התובע לא הוכה, לא הושם בצינוק ולא הופעלו כלפיו כל אמצעי אלימות, לא במהלך החקירה ולא במהלך מעצרו. העד ציין כי בהתאם לנהלים החלים עליו חל איסור לנהוג באלימות כלפי נחקרים. בחקירתו חזר העד על עיקרי הדברים וחזר ואמר שהתובע לא הוכה כלל. </w:t>
      </w:r>
    </w:p>
    <w:p w:rsidR="0047397E" w:rsidRDefault="0047397E" w:rsidP="0047397E">
      <w:pPr>
        <w:pStyle w:val="Ruller41"/>
        <w:rPr>
          <w:rtl/>
        </w:rPr>
      </w:pPr>
    </w:p>
    <w:p w:rsidR="0047397E" w:rsidRDefault="0047397E" w:rsidP="0047397E">
      <w:pPr>
        <w:pStyle w:val="Ruller41"/>
        <w:rPr>
          <w:rtl/>
        </w:rPr>
      </w:pPr>
      <w:r>
        <w:rPr>
          <w:rFonts w:hint="cs"/>
          <w:rtl/>
        </w:rPr>
        <w:t>53.</w:t>
      </w:r>
      <w:r>
        <w:rPr>
          <w:rFonts w:hint="cs"/>
          <w:rtl/>
        </w:rPr>
        <w:tab/>
        <w:t>העד האני מוחמד שאכר חיח, כיום שופט בבית הדין הצבאי בדרום חברון. בשנת 2008 שימש כתובע כללי. העד מתאר בתצהירו שהוא חקר את התובע במשרדי התביעה בחברון ביום 3.6.2008. העד מתאר ששאל את התובע כפי שהוא שואל כל נחקר האם הוא עונה או הוכה והתובע השיב בשלילה. התובע לא התלונן על אלימות כלפיו. בסיום כל דף שבו נרשמו דברי התובע, התובע חתם על הכתוב וגרסתו לפיה הוא חתם על דף ריק היא שקרית. העד תיאר בחקירתו שכאשר היה מגיע אליו נחקר שקיבל מכות מהחוקרים הוא היה מפנה את הנחקר לרופא (עמ' 83 שו' 21 לפרוטוקול מיום 20.2.2022), והחוקר שהיכה מובא בפני שופט (שם, שם). כאשר נשאל העד, כמה פעמים קרה שחוקר היכה נחקרים הוא השיב "</w:t>
      </w:r>
      <w:r w:rsidRPr="005D3A64">
        <w:rPr>
          <w:rFonts w:ascii="Miriam" w:hAnsi="Miriam" w:cs="Miriam"/>
          <w:sz w:val="24"/>
          <w:szCs w:val="24"/>
          <w:rtl/>
        </w:rPr>
        <w:t>הרבה פעמים. היו הרבה מקרים שידענו שהנחקר קיבל מכות ומי שעשה את זה הובא לבית משפט</w:t>
      </w:r>
      <w:r>
        <w:rPr>
          <w:rFonts w:hint="cs"/>
          <w:rtl/>
        </w:rPr>
        <w:t xml:space="preserve">" (שם, עמ' 25-24). אין צורך לומר </w:t>
      </w:r>
      <w:r>
        <w:rPr>
          <w:rFonts w:hint="cs"/>
          <w:rtl/>
        </w:rPr>
        <w:lastRenderedPageBreak/>
        <w:t xml:space="preserve">שעדות זו, שנתנה מטעם עד של הרש"פ, כמשיח לפי תומו, ותוך שהוא מנסה לצייר באור חיובי את הרש"פ כמי שמעמידה לדין חוקרים שמכים את הנחקרים, סותרת את גרסת יתר עדי הנתבעת שטענו באופן גורף שאף פעם לא ננקטים אמצעי אלימות מצד החוקרים כלפי הנחקרים. </w:t>
      </w:r>
    </w:p>
    <w:p w:rsidR="0047397E" w:rsidRDefault="0047397E" w:rsidP="0047397E">
      <w:pPr>
        <w:pStyle w:val="Ruller41"/>
        <w:tabs>
          <w:tab w:val="clear" w:pos="800"/>
        </w:tabs>
        <w:ind w:hanging="44"/>
        <w:rPr>
          <w:rtl/>
        </w:rPr>
      </w:pPr>
    </w:p>
    <w:p w:rsidR="0047397E" w:rsidRDefault="0047397E" w:rsidP="0047397E">
      <w:pPr>
        <w:pStyle w:val="Ruller41"/>
        <w:tabs>
          <w:tab w:val="clear" w:pos="800"/>
        </w:tabs>
        <w:ind w:hanging="44"/>
        <w:rPr>
          <w:rtl/>
        </w:rPr>
      </w:pPr>
      <w:r>
        <w:rPr>
          <w:rFonts w:hint="cs"/>
          <w:rtl/>
        </w:rPr>
        <w:t xml:space="preserve"> </w:t>
      </w:r>
      <w:r>
        <w:rPr>
          <w:rFonts w:hint="cs"/>
          <w:rtl/>
        </w:rPr>
        <w:tab/>
        <w:t>יוער שגם עד הרש"פ, מוחמד סעד, ששהה בכלא דהריה כאסיר יחד עם התובע ושימש "שאוויש", היינו, האחראי על האסירים הנמצאים עמו בחדר, סיפר בחקירתו הנגדית שכאשר אסיר היה מגיע לחדרו הוא היה שואל אותו האם עבר עינויים ומבקש רופא (עמ' 80 שו' 33-32 לפרוטוקול מיום 20.2.2022).  בהמשך סיפר שוב, שאם אסיר היה חולה או היכו אותו הוא היה מבקש להפנותו לרופא (עמ' 81 שו' 2 לפרוטוקול מיום 20.2.2022). מכאן מבקש התובע בסיכומיו שנלמד שהעד מודה שחוקרי הרש"פ היכו  נחקרים (פסקה 145 לסיכומי התובע). אלא שבהמשך הוא אומר "</w:t>
      </w:r>
      <w:r w:rsidRPr="009731C1">
        <w:rPr>
          <w:rFonts w:ascii="Miriam" w:hAnsi="Miriam" w:cs="Miriam"/>
          <w:sz w:val="24"/>
          <w:szCs w:val="24"/>
          <w:rtl/>
        </w:rPr>
        <w:t>בתקופת המאסר לא היו מכות, אין בכלא מכות</w:t>
      </w:r>
      <w:r>
        <w:rPr>
          <w:rFonts w:hint="cs"/>
          <w:rtl/>
        </w:rPr>
        <w:t>" ולגבי תקופת המעצר הוא אמר "</w:t>
      </w:r>
      <w:r w:rsidRPr="009731C1">
        <w:rPr>
          <w:rFonts w:ascii="Miriam" w:hAnsi="Miriam" w:cs="Miriam"/>
          <w:sz w:val="24"/>
          <w:szCs w:val="24"/>
          <w:rtl/>
        </w:rPr>
        <w:t>לא יודע לא הייתי שם</w:t>
      </w:r>
      <w:r>
        <w:rPr>
          <w:rFonts w:hint="cs"/>
          <w:rtl/>
        </w:rPr>
        <w:t xml:space="preserve">" (עמ' 81 שו' 9-6). לכן אין ללמוד מדבריו של מוחמד סעד, כפי שמנסה התובע לטעון, שהוא העיד שפגש אסירים שהוכו בחקירה. נראה שהתשובות הסותרות לכאורה נובעות מחוסר הבנה. מכל מקום בכל הנוגע לעדות של האני מוחמד שאכר חיח שתוארה לעיל, אין כל ספק שהיא מערערת לגמרי את גרסת יתר עדי הרש"פ לפיה הנחקרים על ידה לעולם אינם עוברים עינויים. </w:t>
      </w:r>
    </w:p>
    <w:p w:rsidR="0047397E" w:rsidRDefault="0047397E" w:rsidP="0047397E">
      <w:pPr>
        <w:pStyle w:val="Ruller41"/>
        <w:tabs>
          <w:tab w:val="clear" w:pos="800"/>
        </w:tabs>
        <w:ind w:hanging="44"/>
        <w:rPr>
          <w:rtl/>
        </w:rPr>
      </w:pPr>
    </w:p>
    <w:p w:rsidR="0047397E" w:rsidRDefault="0047397E" w:rsidP="0047397E">
      <w:pPr>
        <w:pStyle w:val="Ruller41"/>
        <w:tabs>
          <w:tab w:val="clear" w:pos="800"/>
        </w:tabs>
        <w:ind w:hanging="44"/>
        <w:rPr>
          <w:rtl/>
        </w:rPr>
      </w:pPr>
      <w:r>
        <w:rPr>
          <w:rFonts w:hint="cs"/>
          <w:rtl/>
        </w:rPr>
        <w:t>54.</w:t>
      </w:r>
      <w:r>
        <w:rPr>
          <w:rFonts w:hint="cs"/>
          <w:rtl/>
        </w:rPr>
        <w:tab/>
        <w:t>העד השופט פארס דודה שהוזכר לעיל, ציין בחקירתו הנגדית שלא ידוע לו על עינויים בכלא או בזמן החקירה. העד ציין שבתיקים שבהם הוא שופט הוא בוחן אם הנאשם עבר עינויים ושלמרות שבדרך כלל "</w:t>
      </w:r>
      <w:r w:rsidRPr="009731C1">
        <w:rPr>
          <w:rFonts w:ascii="Miriam" w:hAnsi="Miriam" w:cs="Miriam"/>
          <w:sz w:val="24"/>
          <w:szCs w:val="24"/>
          <w:rtl/>
        </w:rPr>
        <w:t>כל נאשם שהוא בא לבית המשפט אומר שהוא הוכה</w:t>
      </w:r>
      <w:r>
        <w:rPr>
          <w:rFonts w:hint="cs"/>
          <w:rtl/>
        </w:rPr>
        <w:t>" (עמ' 50 שו' 21 לפרוטוקול מיום 8.11.2021) הוא מעולם לא השתכנע שאכן הנחקרים שנידונו בפניו הוכו על ידי החוקרים של הרש"פ "</w:t>
      </w:r>
      <w:r w:rsidRPr="009731C1">
        <w:rPr>
          <w:rFonts w:ascii="Miriam" w:hAnsi="Miriam" w:cs="Miriam"/>
          <w:sz w:val="24"/>
          <w:szCs w:val="24"/>
          <w:rtl/>
        </w:rPr>
        <w:t>בתיקים שהיו בפניי לא היו עינויים</w:t>
      </w:r>
      <w:r>
        <w:rPr>
          <w:rFonts w:hint="cs"/>
          <w:rtl/>
        </w:rPr>
        <w:t xml:space="preserve">" (שם, שו' 16). בעניין זה יאמר שהגם שלא ניתן להסיק מעדות זו בלבד שאכן חוקרי הרש"פ מכים את הנחקרים, הרי שהיא סותרת את העדות של עזמי קטיט (ששימש מנהל כלא המשטרה הצבאית בחברון) שהעיד שכאשר הוא היה מנהל הכלא לא היו מקרים שבהם אסירים התלוננו שקבלו מכות בכלא (עמ' 90 שו' 16 לפרוטוקול מיום </w:t>
      </w:r>
      <w:r>
        <w:rPr>
          <w:rFonts w:hint="cs"/>
          <w:rtl/>
        </w:rPr>
        <w:lastRenderedPageBreak/>
        <w:t>20.2.2022). מכל מקום בוודאי יש בה כדי לחזק את העדויות של התובע ועדיו כמו גם את עדותו של האני מוחמד שאכר חיח, שלפיה עינוי של נחקרים על ידי הרש"פ איננה תופעה "</w:t>
      </w:r>
      <w:r w:rsidRPr="009731C1">
        <w:rPr>
          <w:rFonts w:ascii="Miriam" w:hAnsi="Miriam" w:cs="Miriam"/>
          <w:sz w:val="24"/>
          <w:szCs w:val="24"/>
          <w:rtl/>
        </w:rPr>
        <w:t>דמיונית</w:t>
      </w:r>
      <w:r>
        <w:rPr>
          <w:rFonts w:hint="cs"/>
          <w:rtl/>
        </w:rPr>
        <w:t xml:space="preserve">" כטענת הרש"פ. </w:t>
      </w:r>
    </w:p>
    <w:p w:rsidR="0047397E" w:rsidRDefault="0047397E" w:rsidP="0047397E">
      <w:pPr>
        <w:pStyle w:val="Ruller41"/>
        <w:tabs>
          <w:tab w:val="clear" w:pos="800"/>
        </w:tabs>
        <w:ind w:hanging="44"/>
        <w:rPr>
          <w:rtl/>
        </w:rPr>
      </w:pPr>
    </w:p>
    <w:p w:rsidR="0047397E" w:rsidRDefault="0047397E" w:rsidP="0047397E">
      <w:pPr>
        <w:pStyle w:val="Ruller41"/>
        <w:tabs>
          <w:tab w:val="clear" w:pos="800"/>
        </w:tabs>
        <w:ind w:hanging="44"/>
        <w:rPr>
          <w:rtl/>
        </w:rPr>
      </w:pPr>
      <w:r>
        <w:rPr>
          <w:rFonts w:hint="cs"/>
          <w:rtl/>
        </w:rPr>
        <w:t>55.</w:t>
      </w:r>
      <w:r>
        <w:rPr>
          <w:rFonts w:hint="cs"/>
          <w:rtl/>
        </w:rPr>
        <w:tab/>
        <w:t xml:space="preserve">כן העיד השופט פאדי מוחמד חג'אזי ששפט את התובע וגזר עליו 7 שנות מאסר. בתצהירו ציין העד שאילו התובע היה מתלונן על עינויים הדבר היה מתועד בפרוטוקולים של  הדיונים בבית המשפט. </w:t>
      </w:r>
    </w:p>
    <w:p w:rsidR="0047397E" w:rsidRDefault="0047397E" w:rsidP="0047397E">
      <w:pPr>
        <w:pStyle w:val="Ruller41"/>
        <w:tabs>
          <w:tab w:val="clear" w:pos="800"/>
        </w:tabs>
        <w:ind w:hanging="44"/>
        <w:rPr>
          <w:rtl/>
        </w:rPr>
      </w:pPr>
    </w:p>
    <w:p w:rsidR="0047397E" w:rsidRDefault="0047397E" w:rsidP="0047397E">
      <w:pPr>
        <w:pStyle w:val="Ruller41"/>
        <w:tabs>
          <w:tab w:val="clear" w:pos="800"/>
        </w:tabs>
        <w:ind w:hanging="44"/>
        <w:rPr>
          <w:rtl/>
        </w:rPr>
      </w:pPr>
      <w:r>
        <w:rPr>
          <w:rFonts w:hint="cs"/>
          <w:rtl/>
        </w:rPr>
        <w:t>56.</w:t>
      </w:r>
      <w:r>
        <w:rPr>
          <w:rFonts w:hint="cs"/>
          <w:rtl/>
        </w:rPr>
        <w:tab/>
        <w:t xml:space="preserve">בנוסף העידו גורמי רפואה ורופאים שבדקו את התובע במהלך שהותו בבתי הכלא השונים והם חתומים על התיעוד הרפואי, שהוגש בעניינו של התובע. יצויין שהגם שהעדים העידו  שבהתאם לנהלים יש חובה לבדוק כל עצור בעת קליטתו, התיעוד הרפואי שהוגש אינו כולל בדיקה רפואית מיום מעצרו ולמעשה הוא מתעלם מתקופה בת  5 שנים שבה התובע היה כלוא בידי הרש"פ משנת 2008 ועד שנת 2013. התיעוד הרפואי הראשון המופיע בתיק שהוגש הוא כרטיס אשפוז חלקי בו מצויין התאריך 12.3.2012 (עמ' 80 לקובץ הראיות השני של הנתבעת) והגם שעולה מן התיעוד הרפואי שהוגש, שהתובע אכן טופל על ידי רופאים מטעם הרש"פ בשנים 2012 ועד שחרורו בשנת 2015, הרי שלא הוגש כל תיעוד אודות מצבו הרפואי של התובע בשנים הראשונות שבהם שהה בכלא. עניין זה כמובן פועל לחובת הרש"פ ומחזק את גרסת התובע כפי שהיא גם עולה מכתב התביעה שלו לפיה עיקר העינויים היו בעת המעצר והשנה הראשונה למאסרו (סעיף 11 לכתב התביעה). </w:t>
      </w:r>
    </w:p>
    <w:p w:rsidR="0047397E" w:rsidRDefault="0047397E" w:rsidP="0047397E">
      <w:pPr>
        <w:pStyle w:val="Ruller41"/>
        <w:tabs>
          <w:tab w:val="clear" w:pos="800"/>
        </w:tabs>
        <w:ind w:left="44" w:hanging="44"/>
        <w:rPr>
          <w:rtl/>
        </w:rPr>
      </w:pPr>
    </w:p>
    <w:p w:rsidR="0047397E" w:rsidRDefault="0047397E" w:rsidP="0047397E">
      <w:pPr>
        <w:pStyle w:val="Ruller41"/>
        <w:tabs>
          <w:tab w:val="clear" w:pos="800"/>
        </w:tabs>
        <w:ind w:left="44" w:hanging="44"/>
        <w:rPr>
          <w:rtl/>
        </w:rPr>
      </w:pPr>
      <w:r>
        <w:rPr>
          <w:rFonts w:hint="cs"/>
          <w:rtl/>
        </w:rPr>
        <w:t>57.</w:t>
      </w:r>
      <w:r>
        <w:rPr>
          <w:rFonts w:hint="cs"/>
          <w:rtl/>
        </w:rPr>
        <w:tab/>
        <w:t xml:space="preserve">מטעם הרש"פ העיד גם קדרי עארף סוואטפה שעבד כמנהל מרכז תיקון ושיקום בכלא יריחו בעת שהותו של התובע בכלא יריחו. העד פירט רבות אודות נהלי הבדיקות הרפואיות בכלא יריחו והבדיקות שנעשו לתובע כמו גם הטיפולים שקיבל בשל מצבו הנפשי. העד ציין שלא מתבצעות חקירות בכלא יריחו ובוודאי שאין עינויים. יוער כי בשים לב לכך שהעד רג'וב מטעם התובע העיד במפורש שבכלא יריחו הם לא חוו עינויים וגם התובע לא פירט עינויים שחווה בכלא יריחו, ונוכח עדותו לפיה הוא שהה בכלא </w:t>
      </w:r>
      <w:r>
        <w:rPr>
          <w:rFonts w:hint="cs"/>
          <w:rtl/>
        </w:rPr>
        <w:lastRenderedPageBreak/>
        <w:t xml:space="preserve">יריחו במשך שנתיים (עמ' 14 שו' 5-4 ועמ' 19 שו' 18), המסקנה היא שבשנתיים שבהם שהה התובע בכלא יריחו הוא לא חווה עינויים.   </w:t>
      </w:r>
    </w:p>
    <w:p w:rsidR="0047397E" w:rsidRDefault="0047397E" w:rsidP="0047397E">
      <w:pPr>
        <w:pStyle w:val="Ruller41"/>
        <w:tabs>
          <w:tab w:val="clear" w:pos="800"/>
        </w:tabs>
        <w:ind w:left="44" w:hanging="44"/>
        <w:rPr>
          <w:rtl/>
        </w:rPr>
      </w:pPr>
    </w:p>
    <w:p w:rsidR="0047397E" w:rsidRDefault="0047397E" w:rsidP="0047397E">
      <w:pPr>
        <w:pStyle w:val="Ruller41"/>
        <w:tabs>
          <w:tab w:val="clear" w:pos="800"/>
        </w:tabs>
        <w:ind w:left="44" w:hanging="44"/>
        <w:rPr>
          <w:rtl/>
        </w:rPr>
      </w:pPr>
      <w:r>
        <w:rPr>
          <w:rFonts w:hint="cs"/>
          <w:rtl/>
        </w:rPr>
        <w:t>58.</w:t>
      </w:r>
      <w:r>
        <w:rPr>
          <w:rFonts w:hint="cs"/>
          <w:rtl/>
        </w:rPr>
        <w:tab/>
        <w:t xml:space="preserve">התובע טוען שאין לתת משקל לעדויות של נציגי הרש"פ היות והם נושאי תפקידים ברש"פ וחוששים לגורלם,  והשופט פארס דודה אף העיד כפי שתואר לעיל, שכל שיתוף פעולה עם ישראל נחשב בגידה. לכן ברור שחשיפת העינויים בבית משפט ישראלי תחשב לבגידה והעדים יהיו חשופים לעונש מוות. אשר למחמוד סעד, כפי שעלה בחקירתו, על בנו נגזר עונש מוות על ידי הרש"פ (עמ' 77 שו' 29 לפרוטוקול מיום 20.2.2022) ולכן לטענת התובע גם לעדות שלו אין לתת משקל. </w:t>
      </w:r>
    </w:p>
    <w:p w:rsidR="0047397E" w:rsidRDefault="0047397E" w:rsidP="0047397E">
      <w:pPr>
        <w:pStyle w:val="Ruller41"/>
        <w:tabs>
          <w:tab w:val="clear" w:pos="800"/>
        </w:tabs>
        <w:ind w:left="44" w:hanging="44"/>
        <w:rPr>
          <w:rtl/>
        </w:rPr>
      </w:pPr>
    </w:p>
    <w:p w:rsidR="0047397E" w:rsidRDefault="0047397E" w:rsidP="0047397E">
      <w:pPr>
        <w:pStyle w:val="Ruller41"/>
        <w:tabs>
          <w:tab w:val="clear" w:pos="800"/>
        </w:tabs>
        <w:ind w:left="44" w:hanging="44"/>
        <w:rPr>
          <w:rtl/>
        </w:rPr>
      </w:pPr>
      <w:r>
        <w:rPr>
          <w:rFonts w:hint="cs"/>
          <w:rtl/>
        </w:rPr>
        <w:t>59.</w:t>
      </w:r>
      <w:r>
        <w:rPr>
          <w:rFonts w:hint="cs"/>
          <w:rtl/>
        </w:rPr>
        <w:tab/>
        <w:t xml:space="preserve">לאחר שבחנתי את טענות הצדדים והראיות שהוצגו, הגעתי לכלל מסקנה כי עלה בידי התובע להוכיח שבעת היותו במשמורת של הרש"פ, הוא עונה, הוכה והושפל באופן אכזרי ומזעזע. </w:t>
      </w:r>
    </w:p>
    <w:p w:rsidR="0047397E" w:rsidRDefault="0047397E" w:rsidP="0047397E">
      <w:pPr>
        <w:pStyle w:val="Ruller41"/>
        <w:tabs>
          <w:tab w:val="clear" w:pos="800"/>
        </w:tabs>
        <w:ind w:left="44" w:hanging="44"/>
        <w:rPr>
          <w:rtl/>
        </w:rPr>
      </w:pPr>
    </w:p>
    <w:p w:rsidR="0047397E" w:rsidRDefault="0047397E" w:rsidP="0047397E">
      <w:pPr>
        <w:pStyle w:val="Ruller41"/>
        <w:tabs>
          <w:tab w:val="clear" w:pos="800"/>
        </w:tabs>
        <w:ind w:left="44" w:hanging="44"/>
        <w:rPr>
          <w:rtl/>
        </w:rPr>
      </w:pPr>
      <w:r>
        <w:rPr>
          <w:rFonts w:hint="cs"/>
          <w:rtl/>
        </w:rPr>
        <w:t>60.</w:t>
      </w:r>
      <w:r>
        <w:rPr>
          <w:rFonts w:hint="cs"/>
          <w:rtl/>
        </w:rPr>
        <w:tab/>
        <w:t xml:space="preserve">כעולה מגרסתו הראשונה של התובע כפי שהיא פורטה בכתב התביעה, המעשים הקשים בוצעו בעיקר בזמן חקירתו במהלך השנה הראשונה למעצרו ובלשונו: </w:t>
      </w:r>
      <w:r w:rsidRPr="00371DDB">
        <w:rPr>
          <w:rFonts w:ascii="Miriam" w:hAnsi="Miriam" w:cs="Miriam"/>
          <w:sz w:val="24"/>
          <w:szCs w:val="24"/>
          <w:rtl/>
        </w:rPr>
        <w:t>"הנתבעת כמנהגה, ענתה את התובע עינויים קשים בזמן כליאתו בפרט בשנה הראשונה למאס</w:t>
      </w:r>
      <w:r>
        <w:rPr>
          <w:rFonts w:ascii="Miriam" w:hAnsi="Miriam" w:cs="Miriam" w:hint="cs"/>
          <w:sz w:val="24"/>
          <w:szCs w:val="24"/>
          <w:rtl/>
        </w:rPr>
        <w:t>ר</w:t>
      </w:r>
      <w:r w:rsidRPr="00371DDB">
        <w:rPr>
          <w:rFonts w:ascii="Miriam" w:hAnsi="Miriam" w:cs="Miriam"/>
          <w:sz w:val="24"/>
          <w:szCs w:val="24"/>
          <w:rtl/>
        </w:rPr>
        <w:t>ו ובמהלך חקירותיו</w:t>
      </w:r>
      <w:r>
        <w:rPr>
          <w:rFonts w:hint="cs"/>
          <w:rtl/>
        </w:rPr>
        <w:t xml:space="preserve">" (פסקה 11 לכתב התביעה). גם מעיון בתצהירו של התובע עולה כי עיקר העינויים בוצעו בזמן שנחקר וקודם להרשעתו (ראו תיאור מפורט של העינויים קודם לגזר הדין, בסעיפים 14-5 לתצהיר התובע, לעומת תיאור כללי ביותר בסעיף 18 לתצהיר לגבי העינויים בתקופת המאסר שלאחר גזר הדין). </w:t>
      </w:r>
    </w:p>
    <w:p w:rsidR="0047397E" w:rsidRDefault="0047397E" w:rsidP="0047397E">
      <w:pPr>
        <w:pStyle w:val="Ruller41"/>
        <w:tabs>
          <w:tab w:val="clear" w:pos="800"/>
        </w:tabs>
        <w:ind w:left="44" w:hanging="44"/>
        <w:rPr>
          <w:rtl/>
        </w:rPr>
      </w:pPr>
    </w:p>
    <w:p w:rsidR="0047397E" w:rsidRDefault="0047397E" w:rsidP="0047397E">
      <w:pPr>
        <w:pStyle w:val="Ruller41"/>
        <w:tabs>
          <w:tab w:val="clear" w:pos="800"/>
        </w:tabs>
        <w:ind w:left="44" w:hanging="44"/>
        <w:rPr>
          <w:rtl/>
        </w:rPr>
      </w:pPr>
      <w:r>
        <w:rPr>
          <w:rFonts w:hint="cs"/>
          <w:rtl/>
        </w:rPr>
        <w:t>61.</w:t>
      </w:r>
      <w:r>
        <w:rPr>
          <w:rFonts w:hint="cs"/>
          <w:rtl/>
        </w:rPr>
        <w:tab/>
        <w:t xml:space="preserve">אשר לעינויים בתקופת המאסר, כפי שצויין לעיל, מן הראיות עולה כי במהלך השנתיים שבהם שהה התובע בכלא יריחו הוא לא חווה עינויים וכי בתקופות מסויימות הוא אף קיבל טיפול רפואי לבעיה הנפשית שממנה סבל בכלא. יחד עם זאת, התובע העיד, וחיזוק לכך נמצא בראיות של העדים ששהו עימו בכלא דהריה ושתוארו לעיל, שכל אימת שהרש"פ חשדה בתובע שהוא משתף פעולה עם ישראל היו מגיעים כוחות מיוחדים מוציאים אותו לחצר הכלא וחוקרים אותו תחת עינויים. אמנם לא ניתן לומר </w:t>
      </w:r>
      <w:r>
        <w:rPr>
          <w:rFonts w:hint="cs"/>
          <w:rtl/>
        </w:rPr>
        <w:lastRenderedPageBreak/>
        <w:t xml:space="preserve">שמדובר בעינויים רצופים במהלך כל שנות השהייה בכלא, אולם כאשר אדם נמצא תחת משמורת של גורם שמענה אותו כל אימת שהוא חפץ בכך,  מבלי יכולת לצפות מתי ובאיזו עצמה יגיע העינוי הבא, מדובר בחוויה אכזרית וקשה כשלעצמה, במהלך כל שנות השהייה בכלא. זאת בנוסף לעינויים שחווה התובע בכל אותם פעמים שהוא הוכה והושפל כפי שתואר לעיל. </w:t>
      </w:r>
    </w:p>
    <w:p w:rsidR="0047397E" w:rsidRDefault="0047397E" w:rsidP="0047397E">
      <w:pPr>
        <w:pStyle w:val="Ruller41"/>
        <w:tabs>
          <w:tab w:val="clear" w:pos="800"/>
        </w:tabs>
        <w:ind w:left="44" w:hanging="44"/>
        <w:rPr>
          <w:rtl/>
        </w:rPr>
      </w:pPr>
    </w:p>
    <w:p w:rsidR="0047397E" w:rsidRDefault="0047397E" w:rsidP="0047397E">
      <w:pPr>
        <w:pStyle w:val="Ruller41"/>
        <w:tabs>
          <w:tab w:val="clear" w:pos="800"/>
        </w:tabs>
        <w:ind w:left="44" w:hanging="44"/>
        <w:rPr>
          <w:rtl/>
        </w:rPr>
      </w:pPr>
      <w:r>
        <w:rPr>
          <w:rFonts w:hint="cs"/>
          <w:rtl/>
        </w:rPr>
        <w:t>62.</w:t>
      </w:r>
      <w:r>
        <w:rPr>
          <w:rFonts w:hint="cs"/>
          <w:rtl/>
        </w:rPr>
        <w:tab/>
        <w:t xml:space="preserve">בכל הנוגע לסתירות שציינה הרש"פ בגרסת התובע והעדים מטעמו, לחלקן התייחסתי לעיל וציינתי שאין בהן ממש, לגבי יתר הסתירות איני סבורה כי מדובר בסתירות מהותיות שיש בהן כדי לכרסם בליבת הדברים כפי שתוארו לעיל. לא אכחד, לעיתים נראה היה שהתובע מנסה להעצים את נזקיו, כך למשל כאשר תיאר את התחושות שחווה עד להקלה מעונש המוות למאסר בן 7 שנים. כפי צויין לעיל, מלכתחילה נגזרו על התובע 7 שנות מאסר ולכן נראה שהתובע הגזים בנקודה זו. </w:t>
      </w:r>
    </w:p>
    <w:p w:rsidR="0047397E" w:rsidRPr="003E1D23" w:rsidRDefault="0047397E" w:rsidP="0047397E">
      <w:pPr>
        <w:pStyle w:val="Ruller41"/>
        <w:ind w:firstLine="720"/>
        <w:rPr>
          <w:sz w:val="10"/>
          <w:szCs w:val="16"/>
          <w:rtl/>
        </w:rPr>
      </w:pPr>
    </w:p>
    <w:p w:rsidR="0047397E" w:rsidRPr="00517D43" w:rsidRDefault="0047397E" w:rsidP="0047397E">
      <w:pPr>
        <w:pStyle w:val="Ruller41"/>
        <w:rPr>
          <w:color w:val="FF0000"/>
          <w:rtl/>
        </w:rPr>
      </w:pPr>
      <w:r>
        <w:rPr>
          <w:rtl/>
        </w:rPr>
        <w:tab/>
      </w:r>
      <w:r>
        <w:rPr>
          <w:rFonts w:hint="cs"/>
          <w:rtl/>
        </w:rPr>
        <w:t xml:space="preserve">התובע צירף לסיכומיו את  פרוטוקול איסטנבול (סדרת הדרכות מקצועיות מס' 8 - מהדורה ראשונה, מדריך בדבר חקירה ותיעוד אפקטיביים של עינויים וצורות ענישה אחרות של יחס ענישה אכזרית בלתי אנושית ומשפילה (האומות המאוחדות, ניו- יוק וג'נבה 2004))(להלן: </w:t>
      </w:r>
      <w:r w:rsidRPr="003E1D23">
        <w:rPr>
          <w:rFonts w:ascii="Miriam" w:hAnsi="Miriam" w:cs="Miriam"/>
          <w:sz w:val="24"/>
          <w:szCs w:val="24"/>
          <w:rtl/>
        </w:rPr>
        <w:t>פרוטוקול איסטנבול</w:t>
      </w:r>
      <w:r>
        <w:rPr>
          <w:rFonts w:hint="cs"/>
          <w:rtl/>
        </w:rPr>
        <w:t>) שם מתואר, בין היתר, כי אנשים שחוו עינויים מתקשים לתאר פרטים של מעשי אלימות שחוו וכן שהם נוטים לתאר את האירועים בחוסר עקביות, בשל ההלם הפסיכולוגי והזיכרון הפגום שהוא תופעת לוואי של מחלות נפש הקשורות לטראומה. הרש"פ טוענת כי פרוטוקול איסטנבול איננו קביל משום שלא צורף במסגרת הראיות ומשום שעורכיו לא נחקרו. בהקשר זה אציין כי אף לו הייתי קובעת כי מדובר במסמך קביל, הרי שהמשקל הראייתי שיש לתת לו בקשר לתובע הספציפי הוא זניח. השפעת הטראומה על הזיכרון של התובע ועל האופן שבו הוא מסוגל לתאר חוויותיו, עשויה להיות תלויה בין היתר במצבו הרפואי של התובע</w:t>
      </w:r>
      <w:r>
        <w:rPr>
          <w:rFonts w:hint="cs"/>
          <w:color w:val="FF0000"/>
          <w:rtl/>
        </w:rPr>
        <w:t xml:space="preserve"> </w:t>
      </w:r>
      <w:r>
        <w:rPr>
          <w:rFonts w:hint="cs"/>
          <w:rtl/>
        </w:rPr>
        <w:t xml:space="preserve">ולא הוצגה כל חוות דעת לעניין זה. אין בעובדה שככלל, עינויים עשויים להשפיע  על הזיכרון, כדי להעיד על כך שמצבו הנפשי של התובע שלפניי השפיע על האופן שבו הוא מתאר את חוויותיו. מכל מקום, את הסתירות הזניחות שתיארה הרש"פ בדברי התובע והעדים מטעמו יש לייחס בעיקר לזמן הרב שחלף. </w:t>
      </w:r>
      <w:r>
        <w:rPr>
          <w:rFonts w:hint="cs"/>
          <w:color w:val="FF0000"/>
          <w:rtl/>
        </w:rPr>
        <w:t xml:space="preserve"> </w:t>
      </w:r>
    </w:p>
    <w:p w:rsidR="0047397E" w:rsidRPr="00390A1E" w:rsidRDefault="0047397E" w:rsidP="0047397E">
      <w:pPr>
        <w:pStyle w:val="Ruller41"/>
        <w:rPr>
          <w:sz w:val="2"/>
          <w:szCs w:val="2"/>
          <w:rtl/>
        </w:rPr>
      </w:pPr>
      <w:r>
        <w:rPr>
          <w:rFonts w:hint="cs"/>
          <w:rtl/>
        </w:rPr>
        <w:t xml:space="preserve">   </w:t>
      </w:r>
    </w:p>
    <w:p w:rsidR="0047397E" w:rsidRDefault="0047397E" w:rsidP="0047397E">
      <w:pPr>
        <w:pStyle w:val="Ruller41"/>
        <w:rPr>
          <w:rtl/>
        </w:rPr>
      </w:pPr>
    </w:p>
    <w:p w:rsidR="0047397E" w:rsidRDefault="0047397E" w:rsidP="0047397E">
      <w:pPr>
        <w:pStyle w:val="Ruller41"/>
        <w:rPr>
          <w:rtl/>
        </w:rPr>
      </w:pPr>
      <w:r>
        <w:rPr>
          <w:rFonts w:hint="cs"/>
          <w:rtl/>
        </w:rPr>
        <w:lastRenderedPageBreak/>
        <w:t>63.</w:t>
      </w:r>
      <w:r>
        <w:rPr>
          <w:rtl/>
        </w:rPr>
        <w:tab/>
      </w:r>
      <w:r>
        <w:rPr>
          <w:rFonts w:hint="cs"/>
          <w:rtl/>
        </w:rPr>
        <w:t xml:space="preserve">אשר לעדויות מטעם הרש"פ - אכן כטענת הרש"פ מדובר בעדויות קוהרנטיות במובן זה כולם למעט העד האני מוחמד שאכר חיח, טענו שהרש"פ אינה מענה את עצוריה ואסיריה וכי הם מעולם לא נתקלו בנציג של הרש"פ שעינה עצורים ואסירים. אלא שיש לבחון עדויות אלו על רקע העונש הכבד הצפוי למי שמשתף פעולה עם ישראל.  ואזכיר כי העד האני מוחמד שאכר חיח הודה שהוא נתקל במקרים רבים שבהם היכו עצורים והנחקרים והדבר סותר את דברי יתר העדים של הרש"פ. לכל אלה אוסיף כי הרש"פ נמנעה מלהציג תיעוד רפואי של השנים הראשונות שבהם שהה התובע במשמורתם, בשנים שלפי קביעתי לעיל בוצעו מרבית מעשי העינויים וההתעללות, והדבר פועל לחובתם. יצויין כי התובע טוען בסיכומיו (סעיף 168) שבמסגרת גזר הדין הוא נדון גם לעבודת פרך (מעבר ל-7 שנות המאסר) וגם בכך לטענתו יש כדי להוכיח שהוא חווה עינויים ואולם איני מקבלת טענה זו. התובע והעדים מטעמו לא העידו שהעבידו אותם בעבודות פרך, והעדים מטעם הרש"פ העידו שגזרי הדין המטילים עבודות פרך אינם נאכפים (ראו עדות קדרי סוואפטה, עמ' 32 שו' 9-2 לפרוטוקול מיום 8.11.2021 ועדות פארס דודה, שם עמ' 56 שו' 32-28 ועמ' 57 שו' 5). התרשמתי שמדובר בעדויות מהימנות שלא תואמו מראש. לכן אני דוחה את הטענה בעניין עבודות הפרך. כפועל יוצא נדחית גם תביעת התובע לתשלום פיצוי נפרד בגין עבודות הפרך שטוען שביצע. </w:t>
      </w:r>
    </w:p>
    <w:p w:rsidR="0047397E" w:rsidRDefault="0047397E" w:rsidP="0047397E">
      <w:pPr>
        <w:pStyle w:val="Ruller41"/>
        <w:rPr>
          <w:rtl/>
        </w:rPr>
      </w:pPr>
    </w:p>
    <w:p w:rsidR="0047397E" w:rsidRDefault="0047397E" w:rsidP="0047397E">
      <w:pPr>
        <w:pStyle w:val="Ruller41"/>
        <w:rPr>
          <w:rtl/>
        </w:rPr>
      </w:pPr>
      <w:r>
        <w:rPr>
          <w:rFonts w:hint="cs"/>
          <w:rtl/>
        </w:rPr>
        <w:t>64.</w:t>
      </w:r>
      <w:r>
        <w:rPr>
          <w:rFonts w:hint="cs"/>
          <w:rtl/>
        </w:rPr>
        <w:tab/>
        <w:t xml:space="preserve">לסיכום סוגיית העינויים - מן הראיות שלפניי עולה שהתובע הוכה ועונה באכזריות, בשיטות מזעזעות ומשפילות ביותר. עיקר העינויים וההשפלה בוצעו במהלך חקירתו עד להכרעת הדין בעניינו ואולם גם לאחר מכן, בעת שהותו בבתי הכלא השונים של הרש"פ, למעט בשנתיים שבהם שהה בכלא יריחו, התובע הוכה, עונה והושפל כל אימת שנחשד שהוא משתף פעולה עם ישראל מתוך הכלא.  </w:t>
      </w:r>
    </w:p>
    <w:p w:rsidR="0047397E" w:rsidRPr="00C8005B" w:rsidRDefault="0047397E" w:rsidP="0047397E">
      <w:pPr>
        <w:pStyle w:val="Ruller41"/>
        <w:rPr>
          <w:sz w:val="12"/>
          <w:szCs w:val="18"/>
          <w:rtl/>
        </w:rPr>
      </w:pPr>
    </w:p>
    <w:p w:rsidR="0047397E" w:rsidRDefault="0047397E" w:rsidP="0047397E">
      <w:pPr>
        <w:pStyle w:val="Ruller41"/>
        <w:rPr>
          <w:b/>
          <w:bCs/>
          <w:u w:val="single"/>
          <w:rtl/>
        </w:rPr>
      </w:pPr>
      <w:r w:rsidRPr="00E21652">
        <w:rPr>
          <w:rFonts w:hint="cs"/>
          <w:b/>
          <w:bCs/>
          <w:u w:val="single"/>
          <w:rtl/>
        </w:rPr>
        <w:t>הנזק</w:t>
      </w:r>
    </w:p>
    <w:p w:rsidR="0047397E" w:rsidRDefault="0047397E" w:rsidP="0047397E">
      <w:pPr>
        <w:pStyle w:val="Ruller41"/>
        <w:rPr>
          <w:b/>
          <w:bCs/>
          <w:u w:val="single"/>
          <w:rtl/>
        </w:rPr>
      </w:pPr>
    </w:p>
    <w:p w:rsidR="0047397E" w:rsidRDefault="0047397E" w:rsidP="0047397E">
      <w:pPr>
        <w:pStyle w:val="Ruller41"/>
        <w:rPr>
          <w:b/>
          <w:bCs/>
          <w:u w:val="single"/>
          <w:rtl/>
        </w:rPr>
      </w:pPr>
      <w:r w:rsidRPr="006A1E05">
        <w:rPr>
          <w:rFonts w:hint="cs"/>
          <w:rtl/>
        </w:rPr>
        <w:t>65.</w:t>
      </w:r>
      <w:r w:rsidRPr="006A1E05">
        <w:rPr>
          <w:rFonts w:hint="cs"/>
          <w:rtl/>
        </w:rPr>
        <w:tab/>
      </w:r>
      <w:r>
        <w:rPr>
          <w:rFonts w:hint="cs"/>
          <w:rtl/>
        </w:rPr>
        <w:t xml:space="preserve">העוולות נשוא התביעה בוצעו בשטחי הרשות הפלסטינית. כידוע, בהתאם לכללי המשפט הבינלאומי הפרטי, במצב הדברים הרגיל, הדין החל על עוולות בנזיקין הוא דין מקום ביצוע העוולה. עם זאת במקרה דנן, נוכח פסיקת בית המשפט העליון </w:t>
      </w:r>
      <w:r>
        <w:rPr>
          <w:rFonts w:hint="cs"/>
          <w:rtl/>
        </w:rPr>
        <w:lastRenderedPageBreak/>
        <w:t xml:space="preserve">בעניין </w:t>
      </w:r>
      <w:r w:rsidRPr="00F63EDB">
        <w:rPr>
          <w:rFonts w:ascii="Miriam" w:hAnsi="Miriam" w:cs="Miriam"/>
          <w:sz w:val="24"/>
          <w:szCs w:val="24"/>
          <w:rtl/>
        </w:rPr>
        <w:t>פלונים</w:t>
      </w:r>
      <w:r>
        <w:rPr>
          <w:rFonts w:hint="cs"/>
          <w:rtl/>
        </w:rPr>
        <w:t xml:space="preserve"> (פסקה 9 ) כפי שפורש על ידי בהחלטתי מיום 4.11.2021 (במסגרת ת"א 23420-06-17 </w:t>
      </w:r>
      <w:r w:rsidRPr="00C8005B">
        <w:rPr>
          <w:rFonts w:ascii="Miriam" w:hAnsi="Miriam" w:cs="Miriam"/>
          <w:sz w:val="24"/>
          <w:szCs w:val="24"/>
          <w:rtl/>
        </w:rPr>
        <w:t>פלוני נ' הרשות הפלסטינית</w:t>
      </w:r>
      <w:r>
        <w:rPr>
          <w:rFonts w:hint="cs"/>
          <w:rtl/>
        </w:rPr>
        <w:t xml:space="preserve">), הדין החל על כלל תיקי התובעים שעניינם נדון בעניין </w:t>
      </w:r>
      <w:r w:rsidRPr="00D445A4">
        <w:rPr>
          <w:rFonts w:ascii="Miriam" w:hAnsi="Miriam" w:cs="Miriam"/>
          <w:sz w:val="24"/>
          <w:szCs w:val="24"/>
          <w:rtl/>
        </w:rPr>
        <w:t>פלונים</w:t>
      </w:r>
      <w:r>
        <w:rPr>
          <w:rFonts w:hint="cs"/>
          <w:rtl/>
        </w:rPr>
        <w:t xml:space="preserve">, הוא הדין הישראלי. החלטה זו יש ליישם גם בענייננו ולמעשה אף לא אחד מן הצדדים טען אחרת בסיכומיו. לכן ראשי הנזק השונים יידונו בהתאם לדין הישראלי.  </w:t>
      </w:r>
    </w:p>
    <w:p w:rsidR="0047397E" w:rsidRDefault="0047397E" w:rsidP="0047397E">
      <w:pPr>
        <w:pStyle w:val="Ruller41"/>
        <w:rPr>
          <w:b/>
          <w:bCs/>
          <w:u w:val="single"/>
          <w:rtl/>
        </w:rPr>
      </w:pPr>
    </w:p>
    <w:p w:rsidR="0047397E" w:rsidRDefault="0047397E" w:rsidP="0047397E">
      <w:pPr>
        <w:pStyle w:val="Ruller41"/>
        <w:rPr>
          <w:b/>
          <w:bCs/>
          <w:u w:val="single"/>
          <w:rtl/>
        </w:rPr>
      </w:pPr>
      <w:r>
        <w:rPr>
          <w:rFonts w:hint="cs"/>
          <w:b/>
          <w:bCs/>
          <w:u w:val="single"/>
          <w:rtl/>
        </w:rPr>
        <w:t>כליאת שווא</w:t>
      </w:r>
    </w:p>
    <w:p w:rsidR="0047397E" w:rsidRDefault="0047397E" w:rsidP="0047397E">
      <w:pPr>
        <w:pStyle w:val="Ruller41"/>
        <w:rPr>
          <w:b/>
          <w:bCs/>
          <w:u w:val="single"/>
          <w:rtl/>
        </w:rPr>
      </w:pPr>
    </w:p>
    <w:p w:rsidR="0047397E" w:rsidRDefault="0047397E" w:rsidP="0047397E">
      <w:pPr>
        <w:pStyle w:val="Ruller41"/>
        <w:rPr>
          <w:rFonts w:ascii="FrankRuehl" w:hAnsi="FrankRuehl"/>
          <w:sz w:val="28"/>
          <w:rtl/>
        </w:rPr>
      </w:pPr>
      <w:r>
        <w:rPr>
          <w:rFonts w:hint="cs"/>
          <w:rtl/>
        </w:rPr>
        <w:t xml:space="preserve">66.  כפי שצויין לעיל, התובע נכלא שלא כדין </w:t>
      </w:r>
      <w:r>
        <w:rPr>
          <w:rFonts w:ascii="FrankRuehl" w:hAnsi="FrankRuehl" w:hint="cs"/>
          <w:sz w:val="28"/>
          <w:rtl/>
        </w:rPr>
        <w:t xml:space="preserve">מיום 6.5.2008 ועד ליום שחרורו - 20.4.2015 ובסך הכל  2,540 ימים. </w:t>
      </w:r>
    </w:p>
    <w:p w:rsidR="0047397E" w:rsidRDefault="0047397E" w:rsidP="0047397E">
      <w:pPr>
        <w:pStyle w:val="Ruller41"/>
        <w:rPr>
          <w:rFonts w:ascii="FrankRuehl" w:hAnsi="FrankRuehl"/>
          <w:sz w:val="28"/>
          <w:rtl/>
        </w:rPr>
      </w:pPr>
    </w:p>
    <w:p w:rsidR="0047397E" w:rsidRDefault="0047397E" w:rsidP="0047397E">
      <w:pPr>
        <w:pStyle w:val="Ruller41"/>
        <w:rPr>
          <w:rtl/>
        </w:rPr>
      </w:pPr>
      <w:r>
        <w:rPr>
          <w:rFonts w:ascii="FrankRuehl" w:hAnsi="FrankRuehl" w:hint="cs"/>
          <w:sz w:val="28"/>
          <w:rtl/>
        </w:rPr>
        <w:t>67.</w:t>
      </w:r>
      <w:r>
        <w:rPr>
          <w:rFonts w:ascii="FrankRuehl" w:hAnsi="FrankRuehl" w:hint="cs"/>
          <w:sz w:val="28"/>
          <w:rtl/>
        </w:rPr>
        <w:tab/>
        <w:t xml:space="preserve">בעניין </w:t>
      </w:r>
      <w:r w:rsidRPr="00E21652">
        <w:rPr>
          <w:rFonts w:ascii="Miriam" w:hAnsi="Miriam" w:cs="Miriam"/>
          <w:sz w:val="24"/>
          <w:szCs w:val="24"/>
          <w:rtl/>
        </w:rPr>
        <w:t>פלונים</w:t>
      </w:r>
      <w:r>
        <w:rPr>
          <w:rFonts w:ascii="FrankRuehl" w:hAnsi="FrankRuehl" w:hint="cs"/>
          <w:sz w:val="28"/>
          <w:rtl/>
        </w:rPr>
        <w:t xml:space="preserve">, נדונו כאמור עניינם של סייענים שלגביהם נקבע במסגרת החלטת החבות שהם נכלאו שלא כדין ועונו על ידי הרש"פ. כן נדון פסק דינו החלקי של בית המשפט המחוזי מיום 28.6.2018 שבמסגרתו נפסק לכל אחד מהתובעים סך של 422 ₪ לכל יום שבו היה כלוא כאשר יתרת הפיצוי בגין יתר ראשי הנזק יפסקו לאחר שמיעת ראיות בעניינו של כל תובע ותובע בנפרד. סכום הפיצוי בסך 422 ₪ בגין כל יום של כליאת שווא, נפסק בהתאם לשיעור הפיצוי הקבוע בתקנה 8(א) לתקנות סדר הדין הפלילי (פיצויים בשל מעצר או מאסר), התשמ"ב - 1982 (להלן: </w:t>
      </w:r>
      <w:r w:rsidRPr="00386348">
        <w:rPr>
          <w:rFonts w:ascii="Miriam" w:hAnsi="Miriam" w:cs="Miriam"/>
          <w:sz w:val="24"/>
          <w:szCs w:val="24"/>
          <w:rtl/>
        </w:rPr>
        <w:t>תקנות העונשין</w:t>
      </w:r>
      <w:r>
        <w:rPr>
          <w:rFonts w:ascii="FrankRuehl" w:hAnsi="FrankRuehl" w:hint="cs"/>
          <w:sz w:val="28"/>
          <w:rtl/>
        </w:rPr>
        <w:t xml:space="preserve">). </w:t>
      </w:r>
      <w:r>
        <w:rPr>
          <w:rFonts w:hint="cs"/>
          <w:rtl/>
        </w:rPr>
        <w:t xml:space="preserve">התובעים טענו כי בכך סטה בית המשפט המחוזי מההלכה לפיה אין להשתמש בתקנות העונשין לקביעת פיצוי בהליך אזרחי וכי מכל מקום הפיצוי שנפסק לפגיעה בחירותם של התובעים הוא נמוך ומנוגד לפסיקה וכי היה על בית המשפט לפסוק לתובעים בגין כל יום של כליאת שווא לפחות 3,000 ₪ וכן שיש לכלול בפיצוי בגין שלילת החירות גם את הצער, הבושה וחוסר האונים הנלווה לכליאה ולא רק את אבדן ההשתכרות, שזהו הפרמטר היחיד הנלקח בחשבון בעת פסיקת פיצויים לפי תקנות העונשין. הרש"פ טענה מנגד, שעל פי הדין המקומי וממוצע השכר בשטחים, שהוא מקום מושבם של התובעים בעת הכליאה, הפיצוי צריך להיות נמוך בהרבה. כן נטען שאין מקום לפעולה מתמטית של מספר ימי הכליאה והכפלתו בתעריך יומי וכי הפיצוי בגין כליאת שווא הוא פיצוי </w:t>
      </w:r>
      <w:r>
        <w:rPr>
          <w:rFonts w:hint="cs"/>
          <w:rtl/>
        </w:rPr>
        <w:lastRenderedPageBreak/>
        <w:t xml:space="preserve">על נזק לא ממוני שחופף לראש הנזק של כאב וסבל ופיצויים מוגברים וכן הוא כולל פיצוי על הפסד השתכרות. </w:t>
      </w:r>
    </w:p>
    <w:p w:rsidR="0047397E" w:rsidRDefault="0047397E" w:rsidP="0047397E">
      <w:pPr>
        <w:pStyle w:val="Ruller41"/>
      </w:pPr>
    </w:p>
    <w:p w:rsidR="0047397E" w:rsidRDefault="0047397E" w:rsidP="0047397E">
      <w:pPr>
        <w:pStyle w:val="Ruller41"/>
        <w:rPr>
          <w:rtl/>
        </w:rPr>
      </w:pPr>
      <w:r>
        <w:rPr>
          <w:rFonts w:hint="cs"/>
          <w:rtl/>
        </w:rPr>
        <w:t>68.</w:t>
      </w:r>
      <w:r>
        <w:rPr>
          <w:rFonts w:hint="cs"/>
          <w:rtl/>
        </w:rPr>
        <w:tab/>
        <w:t xml:space="preserve">בית המשפט העליון בעניין </w:t>
      </w:r>
      <w:r w:rsidRPr="00C7280E">
        <w:rPr>
          <w:rFonts w:ascii="Miriam" w:hAnsi="Miriam" w:cs="Miriam"/>
          <w:sz w:val="24"/>
          <w:szCs w:val="24"/>
          <w:rtl/>
        </w:rPr>
        <w:t>פלונים</w:t>
      </w:r>
      <w:r>
        <w:rPr>
          <w:rFonts w:hint="cs"/>
          <w:rtl/>
        </w:rPr>
        <w:t xml:space="preserve"> דחה את טענת הרש"פ לפיה ההסדר הקבוע בתקנות העונשין הוא בבחינת הסדר ממצה. עם זאת ציין כי אין להתעלם מכך שהסכום שנקבע על פי תקנות העונשין משקף התחשבות בשכר הממוצע במשק וכי בעת חישוב  אבדן ההשתכרות והפיצוי בגין כאב וסבל בעת מתן פסק הדין הסופי יהיה על בית המשפט להתחשב בסכומים שנפסקו במסגרת פסק הדין החלקי (עניין </w:t>
      </w:r>
      <w:r w:rsidRPr="000E12D2">
        <w:rPr>
          <w:rFonts w:ascii="Miriam" w:hAnsi="Miriam" w:cs="Miriam"/>
          <w:sz w:val="24"/>
          <w:szCs w:val="24"/>
          <w:rtl/>
        </w:rPr>
        <w:t>פלונים</w:t>
      </w:r>
      <w:r>
        <w:rPr>
          <w:rFonts w:hint="cs"/>
          <w:rtl/>
        </w:rPr>
        <w:t>, פסקה 24). בכל הנוגע לטענות התובעים, ציין בית המשפט כי במהלך הדיון בערעור על פסק הדין החלקי, הובהר לתובעים שהסכום שנפסק בגין כליאת השווא במסגרת פסק הדין החלקי הוא בבחינת חישוב  מתמטי של הנזק שנגרם להם בראש הנזק של אבדן החירות בלבד - לצורך פסק הדין החלקי  - וכי בשלב השני של קביעת הנזק יעמדו להם טענותיהם כי יש להגדיל את שיעור הפיצוי בגין הנזק הלא ממוני שנגרם להם בעקבות כליאתם שכן בהתאם לפסיקה מסכום הפיצוי על פי הוראת תקנה 8 לתקנות העונשין "</w:t>
      </w:r>
      <w:r w:rsidRPr="000B2F78">
        <w:rPr>
          <w:rFonts w:ascii="Miriam" w:hAnsi="Miriam" w:cs="Miriam"/>
          <w:sz w:val="24"/>
          <w:szCs w:val="24"/>
          <w:rtl/>
        </w:rPr>
        <w:t>נעדר 'המימד של הצער והבושה וחוסר האונים הנלווים למאסר או מעצר'. בעקבות הבהרה זאת, חזרו בהם המשיבים מערעורם</w:t>
      </w:r>
      <w:r>
        <w:rPr>
          <w:rFonts w:hint="cs"/>
          <w:rtl/>
        </w:rPr>
        <w:t>" (שם, סוף פסקה 23). בהמשך לכך סוכמה ההכרעה בעניין הפיצוי שניתן עבור ימי הכליאה כך "</w:t>
      </w:r>
      <w:r w:rsidRPr="000B2F78">
        <w:rPr>
          <w:rFonts w:ascii="Miriam" w:hAnsi="Miriam" w:cs="Miriam"/>
          <w:sz w:val="24"/>
          <w:szCs w:val="24"/>
          <w:rtl/>
        </w:rPr>
        <w:t>ערעור המשיבים (ע"א 6966/18) נדחה בהסכמתם, ומובהר כי הסכום שנפסק לזכותם הוא בבחינת חישוב של הנזק שנגרם בראש הנזק של אבדן חירות בלבד, וכי בשלב השני של קביעת הנזק תעמודנה להם טענותיהם כי יש להגדיל את הפיצוי בגין נזק לא ממוני שנגרם בעקבות כליאתם</w:t>
      </w:r>
      <w:r>
        <w:rPr>
          <w:rFonts w:hint="cs"/>
          <w:rtl/>
        </w:rPr>
        <w:t xml:space="preserve">" (שם, פסקה 28). </w:t>
      </w:r>
    </w:p>
    <w:p w:rsidR="0047397E" w:rsidRDefault="0047397E" w:rsidP="0047397E">
      <w:pPr>
        <w:pStyle w:val="Ruller41"/>
        <w:rPr>
          <w:rtl/>
        </w:rPr>
      </w:pPr>
    </w:p>
    <w:p w:rsidR="0047397E" w:rsidRDefault="0047397E" w:rsidP="0047397E">
      <w:pPr>
        <w:pStyle w:val="Ruller41"/>
        <w:rPr>
          <w:rtl/>
        </w:rPr>
      </w:pPr>
      <w:r>
        <w:rPr>
          <w:rFonts w:hint="cs"/>
          <w:rtl/>
        </w:rPr>
        <w:t>69.</w:t>
      </w:r>
      <w:r>
        <w:rPr>
          <w:rFonts w:hint="cs"/>
          <w:rtl/>
        </w:rPr>
        <w:tab/>
        <w:t xml:space="preserve">התובע שבפנינו אינו חלק מקבוצת התובעים שעניינם נדון במסגרת פסק הדין החלקי שהערעור עליו נדון בעניין </w:t>
      </w:r>
      <w:r w:rsidRPr="00220E7C">
        <w:rPr>
          <w:rFonts w:ascii="Miriam" w:hAnsi="Miriam" w:cs="Miriam"/>
          <w:sz w:val="24"/>
          <w:szCs w:val="24"/>
          <w:rtl/>
        </w:rPr>
        <w:t>פלונים</w:t>
      </w:r>
      <w:r>
        <w:rPr>
          <w:rFonts w:hint="cs"/>
          <w:rtl/>
        </w:rPr>
        <w:t xml:space="preserve">. יחד עם זאת הדברים שנאמרו בעניין </w:t>
      </w:r>
      <w:r w:rsidRPr="00220E7C">
        <w:rPr>
          <w:rFonts w:ascii="Miriam" w:hAnsi="Miriam" w:cs="Miriam"/>
          <w:sz w:val="24"/>
          <w:szCs w:val="24"/>
          <w:rtl/>
        </w:rPr>
        <w:t>פלונים</w:t>
      </w:r>
      <w:r>
        <w:rPr>
          <w:rFonts w:hint="cs"/>
          <w:rtl/>
        </w:rPr>
        <w:t xml:space="preserve"> יפים גם לענייננו, העוסק אף הוא בכליאת שווא ועינויים שבוצעו על ידי הרש"פ נגד מי שנחשד בשיתוף פעולה עם ישראל. הצדדים בקשו לתמוך את טענותיהם, כל אחד בדרכו, בדברים שנאמרו בעניין </w:t>
      </w:r>
      <w:r w:rsidRPr="00220E7C">
        <w:rPr>
          <w:rFonts w:ascii="Miriam" w:hAnsi="Miriam" w:cs="Miriam"/>
          <w:sz w:val="24"/>
          <w:szCs w:val="24"/>
          <w:rtl/>
        </w:rPr>
        <w:t>פלונים</w:t>
      </w:r>
      <w:r>
        <w:rPr>
          <w:rFonts w:hint="cs"/>
          <w:rtl/>
        </w:rPr>
        <w:t xml:space="preserve"> על מנת לשכנע מדוע לשיטתו הפיצוי שיש לפסוק לתובע, גבוה או נמוך מזה שנפסק בעניין </w:t>
      </w:r>
      <w:r w:rsidRPr="00220E7C">
        <w:rPr>
          <w:rFonts w:ascii="Miriam" w:hAnsi="Miriam" w:cs="Miriam"/>
          <w:sz w:val="24"/>
          <w:szCs w:val="24"/>
          <w:rtl/>
        </w:rPr>
        <w:t>פלונים</w:t>
      </w:r>
      <w:r>
        <w:rPr>
          <w:rFonts w:hint="cs"/>
          <w:rtl/>
        </w:rPr>
        <w:t xml:space="preserve">. כך, התובע טוען כי בעניין </w:t>
      </w:r>
      <w:r w:rsidRPr="00220E7C">
        <w:rPr>
          <w:rFonts w:ascii="Miriam" w:hAnsi="Miriam" w:cs="Miriam"/>
          <w:sz w:val="24"/>
          <w:szCs w:val="24"/>
          <w:rtl/>
        </w:rPr>
        <w:t>פלונים</w:t>
      </w:r>
      <w:r>
        <w:rPr>
          <w:rFonts w:hint="cs"/>
          <w:rtl/>
        </w:rPr>
        <w:t xml:space="preserve"> הובהר שהסכום שנפסק בהתאם לתקנות העונשין הוא בבחינת "</w:t>
      </w:r>
      <w:r w:rsidRPr="000B2F78">
        <w:rPr>
          <w:rFonts w:ascii="Miriam" w:hAnsi="Miriam" w:cs="Miriam"/>
          <w:sz w:val="24"/>
          <w:szCs w:val="24"/>
          <w:rtl/>
        </w:rPr>
        <w:t xml:space="preserve">חישוב של הנזק שנגרם </w:t>
      </w:r>
      <w:r w:rsidRPr="000B2F78">
        <w:rPr>
          <w:rFonts w:ascii="Miriam" w:hAnsi="Miriam" w:cs="Miriam"/>
          <w:sz w:val="24"/>
          <w:szCs w:val="24"/>
          <w:rtl/>
        </w:rPr>
        <w:lastRenderedPageBreak/>
        <w:t>להם בראש הנזק של אבדן חירות ב</w:t>
      </w:r>
      <w:r w:rsidRPr="004C04E9">
        <w:rPr>
          <w:rFonts w:ascii="Miriam" w:hAnsi="Miriam" w:cs="Miriam"/>
          <w:sz w:val="24"/>
          <w:szCs w:val="24"/>
          <w:rtl/>
        </w:rPr>
        <w:t>לבד</w:t>
      </w:r>
      <w:r>
        <w:rPr>
          <w:rFonts w:hint="cs"/>
          <w:rtl/>
        </w:rPr>
        <w:t>" וכי בשלב השני של קביעת הנזק הכולל, תעמודנה להם טענותיהם כי "</w:t>
      </w:r>
      <w:r w:rsidRPr="004C04E9">
        <w:rPr>
          <w:rFonts w:ascii="Miriam" w:hAnsi="Miriam" w:cs="Miriam"/>
          <w:b/>
          <w:bCs/>
          <w:sz w:val="24"/>
          <w:szCs w:val="24"/>
          <w:u w:val="single"/>
          <w:rtl/>
        </w:rPr>
        <w:t>יש להגדיל את הפיצוי בגין נזק לא ממ</w:t>
      </w:r>
      <w:r w:rsidRPr="004C04E9">
        <w:rPr>
          <w:rFonts w:ascii="Miriam" w:hAnsi="Miriam" w:cs="Miriam" w:hint="cs"/>
          <w:b/>
          <w:bCs/>
          <w:sz w:val="24"/>
          <w:szCs w:val="24"/>
          <w:u w:val="single"/>
          <w:rtl/>
        </w:rPr>
        <w:t>ו</w:t>
      </w:r>
      <w:r w:rsidRPr="004C04E9">
        <w:rPr>
          <w:rFonts w:ascii="Miriam" w:hAnsi="Miriam" w:cs="Miriam"/>
          <w:b/>
          <w:bCs/>
          <w:sz w:val="24"/>
          <w:szCs w:val="24"/>
          <w:u w:val="single"/>
          <w:rtl/>
        </w:rPr>
        <w:t>ני שנגרם להם בעקבות כליאתם</w:t>
      </w:r>
      <w:r>
        <w:rPr>
          <w:rFonts w:hint="cs"/>
          <w:rtl/>
        </w:rPr>
        <w:t xml:space="preserve">" [ההדגשה בסעיף 75 לסיכומי התובע].  מכאן מסיק התובע כי יש להעניק לו פיצוי בגין אבדן החירות בגין כל יום של כליאה בסך של 422 ₪ בהתאם לתקנות העונשין כאשר סכום זה עומד היום על 506 ₪, וכי בנוסף לכך יש להגדיל את הפיצוי בגין הכאב הסבל והבושה שנגרמו לו בעת כליאת השווא כך שהוא יפוצה על כל יום כליאה בסך של 5,000 ₪ ובסך הכל בסך 12,780,000 ₪. </w:t>
      </w:r>
    </w:p>
    <w:p w:rsidR="0047397E" w:rsidRDefault="0047397E" w:rsidP="0047397E">
      <w:pPr>
        <w:pStyle w:val="Ruller41"/>
        <w:rPr>
          <w:rtl/>
        </w:rPr>
      </w:pPr>
    </w:p>
    <w:p w:rsidR="0047397E" w:rsidRDefault="0047397E" w:rsidP="0047397E">
      <w:pPr>
        <w:pStyle w:val="Ruller41"/>
        <w:rPr>
          <w:rtl/>
        </w:rPr>
      </w:pPr>
      <w:r>
        <w:rPr>
          <w:rFonts w:hint="cs"/>
          <w:rtl/>
        </w:rPr>
        <w:t>70.</w:t>
      </w:r>
      <w:r>
        <w:rPr>
          <w:rFonts w:hint="cs"/>
          <w:rtl/>
        </w:rPr>
        <w:tab/>
        <w:t xml:space="preserve">הרש"פ טוענת מנגד, כי יש לפרש את פסק דינו של בית המשפט העליון בעניין </w:t>
      </w:r>
      <w:r w:rsidRPr="00220E7C">
        <w:rPr>
          <w:rFonts w:ascii="Miriam" w:hAnsi="Miriam" w:cs="Miriam"/>
          <w:sz w:val="24"/>
          <w:szCs w:val="24"/>
          <w:rtl/>
        </w:rPr>
        <w:t>פלונים</w:t>
      </w:r>
      <w:r>
        <w:rPr>
          <w:rFonts w:hint="cs"/>
          <w:rtl/>
        </w:rPr>
        <w:t xml:space="preserve"> בקשר לפיצויים בגין כליאת השווא, כפסק דין "על חשבון" וכי בית המשפט העליון לא הכיר בכליאת שווא כראש נזק נפרד אלא קבע שבחישוב אבדן ההשתכרות והפיצוי בגין כאב וסבל יהיה על בית המשפט להתחשב בסכומים שנפסקו בפסק הדין החלקי.  לטענת הרש"פ הנזק בגין כליאת השווא הוא נזק חופף וחלק מן הפיצוי בגין כאב וסבל ואין לתת פיצוי נפרד בגין כך וכי בכל מקרה אין ליצור אמת מידה אחידה לפיצוי הנגזר ממכפלת ימי הכליאה וכי יש להתחשב בנסיבות הספציפיות של המעצר בכל מקרה ומקרה. הרש"פ מציינת כי אין להשוות את ענייננו למקרים שאליהם הפנה התובע ואשר בהם נפסק פיצוי רק בגין הכליאה ולא נכללו ראשי נזק נוספים כמו בענייננו. </w:t>
      </w:r>
    </w:p>
    <w:p w:rsidR="0047397E" w:rsidRDefault="0047397E" w:rsidP="0047397E">
      <w:pPr>
        <w:pStyle w:val="Ruller41"/>
        <w:rPr>
          <w:rtl/>
        </w:rPr>
      </w:pPr>
    </w:p>
    <w:p w:rsidR="0047397E" w:rsidRDefault="0047397E" w:rsidP="0047397E">
      <w:pPr>
        <w:pStyle w:val="Ruller41"/>
        <w:rPr>
          <w:szCs w:val="26"/>
          <w:rtl/>
        </w:rPr>
      </w:pPr>
      <w:r>
        <w:rPr>
          <w:rFonts w:hint="cs"/>
          <w:rtl/>
        </w:rPr>
        <w:t>71.</w:t>
      </w:r>
      <w:r>
        <w:rPr>
          <w:rFonts w:hint="cs"/>
          <w:rtl/>
        </w:rPr>
        <w:tab/>
      </w:r>
      <w:r w:rsidRPr="0071266B">
        <w:rPr>
          <w:rFonts w:ascii="FrankRuehl" w:hAnsi="FrankRuehl"/>
          <w:sz w:val="28"/>
          <w:rtl/>
        </w:rPr>
        <w:t xml:space="preserve">סקירת הפסיקה בנוגע </w:t>
      </w:r>
      <w:r w:rsidRPr="0071266B">
        <w:rPr>
          <w:rFonts w:ascii="FrankRuehl" w:hAnsi="FrankRuehl"/>
          <w:color w:val="000000" w:themeColor="text1"/>
          <w:sz w:val="28"/>
          <w:rtl/>
        </w:rPr>
        <w:t>לכליאת שווא מלמדת כי הסכומים הנפסקים בגין כליאת שווא נעים בין 1,000 ₪ ל- 10,000 ₪ כאשר בכליאת שווא לתקופות ארוכות יותר, הסכום שנפסק עבור כל יום נמוך יותר</w:t>
      </w:r>
      <w:r>
        <w:rPr>
          <w:rFonts w:hint="cs"/>
          <w:color w:val="000000" w:themeColor="text1"/>
          <w:rtl/>
        </w:rPr>
        <w:t xml:space="preserve"> (רע"א 5932/08</w:t>
      </w:r>
      <w:r w:rsidRPr="0071266B">
        <w:rPr>
          <w:color w:val="000000" w:themeColor="text1"/>
          <w:rtl/>
        </w:rPr>
        <w:t xml:space="preserve"> </w:t>
      </w:r>
      <w:r w:rsidRPr="00996E06">
        <w:rPr>
          <w:rFonts w:ascii="Miriam" w:hAnsi="Miriam" w:cs="Miriam"/>
          <w:color w:val="000000" w:themeColor="text1"/>
          <w:sz w:val="24"/>
          <w:szCs w:val="24"/>
          <w:rtl/>
        </w:rPr>
        <w:t>עמי שירי נ' מדינת ישראל- שירות בתי הסוהר</w:t>
      </w:r>
      <w:r w:rsidRPr="00996E06">
        <w:rPr>
          <w:color w:val="000000" w:themeColor="text1"/>
          <w:sz w:val="24"/>
          <w:szCs w:val="24"/>
          <w:rtl/>
        </w:rPr>
        <w:t xml:space="preserve"> </w:t>
      </w:r>
      <w:r w:rsidRPr="0071266B">
        <w:rPr>
          <w:color w:val="000000" w:themeColor="text1"/>
          <w:rtl/>
        </w:rPr>
        <w:t xml:space="preserve">(25.8.2010) </w:t>
      </w:r>
      <w:r w:rsidRPr="0071266B">
        <w:rPr>
          <w:rFonts w:ascii="FrankRuehl" w:hAnsi="FrankRuehl"/>
          <w:color w:val="000000" w:themeColor="text1"/>
          <w:sz w:val="28"/>
          <w:rtl/>
        </w:rPr>
        <w:t>שם נפסקו 3,000 ₪ לכל יום כליאה למשך 29 ימים</w:t>
      </w:r>
      <w:r w:rsidRPr="0071266B">
        <w:rPr>
          <w:color w:val="000000" w:themeColor="text1"/>
          <w:rtl/>
        </w:rPr>
        <w:t>;</w:t>
      </w:r>
      <w:r>
        <w:rPr>
          <w:rFonts w:hint="cs"/>
          <w:color w:val="000000" w:themeColor="text1"/>
          <w:rtl/>
        </w:rPr>
        <w:t xml:space="preserve"> וראו גם רע"א 4672/14 </w:t>
      </w:r>
      <w:r w:rsidRPr="0071266B">
        <w:rPr>
          <w:rFonts w:hint="cs"/>
          <w:color w:val="000000" w:themeColor="text1"/>
        </w:rPr>
        <w:t xml:space="preserve"> </w:t>
      </w:r>
      <w:r w:rsidRPr="00996E06">
        <w:rPr>
          <w:rFonts w:ascii="Miriam" w:hAnsi="Miriam" w:cs="Miriam"/>
          <w:color w:val="000000" w:themeColor="text1"/>
          <w:sz w:val="24"/>
          <w:szCs w:val="24"/>
          <w:rtl/>
        </w:rPr>
        <w:t>יהודה גליק נ' מדינת ישראל</w:t>
      </w:r>
      <w:r w:rsidRPr="0071266B">
        <w:rPr>
          <w:color w:val="000000" w:themeColor="text1"/>
          <w:rtl/>
        </w:rPr>
        <w:t xml:space="preserve">, </w:t>
      </w:r>
      <w:r w:rsidRPr="0071266B">
        <w:rPr>
          <w:rFonts w:ascii="FrankRuehl" w:hAnsi="FrankRuehl"/>
          <w:color w:val="000000" w:themeColor="text1"/>
          <w:sz w:val="28"/>
          <w:rtl/>
        </w:rPr>
        <w:t xml:space="preserve">פסקה יג והאסמכתאות שם (6.1.2015)). במקרה דנן מדובר בכליאה לתקופה ארוכה מאוד ולכן אני סבורה שהסכום שפסק כב' השופט </w:t>
      </w:r>
      <w:r w:rsidRPr="00996E06">
        <w:rPr>
          <w:rFonts w:ascii="Miriam" w:hAnsi="Miriam" w:cs="Miriam"/>
          <w:color w:val="000000" w:themeColor="text1"/>
          <w:sz w:val="24"/>
          <w:szCs w:val="24"/>
          <w:rtl/>
        </w:rPr>
        <w:t>דרורי</w:t>
      </w:r>
      <w:r w:rsidRPr="0071266B">
        <w:rPr>
          <w:rFonts w:ascii="FrankRuehl" w:hAnsi="FrankRuehl"/>
          <w:color w:val="000000" w:themeColor="text1"/>
          <w:sz w:val="28"/>
          <w:rtl/>
        </w:rPr>
        <w:t xml:space="preserve"> במסגרת פסק הדין החלקי (לקבוצת התובעים שעניינם נדון בעניין</w:t>
      </w:r>
      <w:r w:rsidRPr="0071266B">
        <w:rPr>
          <w:rFonts w:hint="cs"/>
          <w:color w:val="000000" w:themeColor="text1"/>
          <w:rtl/>
        </w:rPr>
        <w:t xml:space="preserve"> </w:t>
      </w:r>
      <w:r w:rsidRPr="00996E06">
        <w:rPr>
          <w:rFonts w:ascii="Miriam" w:hAnsi="Miriam" w:cs="Miriam"/>
          <w:color w:val="000000" w:themeColor="text1"/>
          <w:sz w:val="24"/>
          <w:szCs w:val="24"/>
          <w:rtl/>
        </w:rPr>
        <w:t>פלונים</w:t>
      </w:r>
      <w:r w:rsidRPr="0071266B">
        <w:rPr>
          <w:rFonts w:hint="cs"/>
          <w:color w:val="000000" w:themeColor="text1"/>
          <w:rtl/>
        </w:rPr>
        <w:t xml:space="preserve">) </w:t>
      </w:r>
      <w:r w:rsidRPr="0071266B">
        <w:rPr>
          <w:rFonts w:ascii="FrankRuehl" w:hAnsi="FrankRuehl"/>
          <w:color w:val="000000" w:themeColor="text1"/>
          <w:sz w:val="28"/>
          <w:rtl/>
        </w:rPr>
        <w:t xml:space="preserve">בגין אבדן החירות בלבד, העומד בקירוב (לאחר עדכון השכר הממוצע במשק) על 500 ₪ ליום, הוא ראוי בנסיבות העניין גם לתובע שבפניי. לא נעלמה מעיניי </w:t>
      </w:r>
      <w:r w:rsidRPr="0071266B">
        <w:rPr>
          <w:rFonts w:ascii="FrankRuehl" w:hAnsi="FrankRuehl"/>
          <w:color w:val="000000" w:themeColor="text1"/>
          <w:sz w:val="28"/>
          <w:rtl/>
        </w:rPr>
        <w:lastRenderedPageBreak/>
        <w:t>הפסיקה לפיה אין לגזור את הפיצוי בהליך אזרחי בגין כליאת שווא מתקנות העונשין</w:t>
      </w:r>
      <w:r>
        <w:rPr>
          <w:rFonts w:ascii="FrankRuehl" w:hAnsi="FrankRuehl" w:hint="cs"/>
          <w:color w:val="000000" w:themeColor="text1"/>
          <w:sz w:val="28"/>
          <w:rtl/>
        </w:rPr>
        <w:t>,</w:t>
      </w:r>
      <w:r w:rsidRPr="0071266B">
        <w:rPr>
          <w:rFonts w:ascii="FrankRuehl" w:hAnsi="FrankRuehl"/>
          <w:color w:val="000000" w:themeColor="text1"/>
          <w:sz w:val="28"/>
          <w:rtl/>
        </w:rPr>
        <w:t xml:space="preserve"> ואף ברור הוא כי במקרים שבהם תקופת המעצר גדולה בהרבה</w:t>
      </w:r>
      <w:r>
        <w:rPr>
          <w:rFonts w:ascii="FrankRuehl" w:hAnsi="FrankRuehl" w:hint="cs"/>
          <w:color w:val="000000" w:themeColor="text1"/>
          <w:sz w:val="28"/>
          <w:rtl/>
        </w:rPr>
        <w:t>,</w:t>
      </w:r>
      <w:r w:rsidRPr="0071266B">
        <w:rPr>
          <w:rFonts w:ascii="FrankRuehl" w:hAnsi="FrankRuehl"/>
          <w:color w:val="000000" w:themeColor="text1"/>
          <w:sz w:val="28"/>
          <w:rtl/>
        </w:rPr>
        <w:t xml:space="preserve"> או קצרה בהרבה (למשל מספר שבועות), לא יהיה זה מתאים לפסוק את סכום הפיצוי בהתאם לתקנות העונשין.  עוד יודגש כי הגם שהחישוב שערך כב' השופט </w:t>
      </w:r>
      <w:r w:rsidRPr="00996E06">
        <w:rPr>
          <w:rFonts w:ascii="Miriam" w:hAnsi="Miriam" w:cs="Miriam"/>
          <w:color w:val="000000" w:themeColor="text1"/>
          <w:sz w:val="24"/>
          <w:szCs w:val="24"/>
          <w:rtl/>
        </w:rPr>
        <w:t>דרורי</w:t>
      </w:r>
      <w:r w:rsidRPr="0071266B">
        <w:rPr>
          <w:rFonts w:ascii="FrankRuehl" w:hAnsi="FrankRuehl"/>
          <w:color w:val="000000" w:themeColor="text1"/>
          <w:sz w:val="28"/>
          <w:rtl/>
        </w:rPr>
        <w:t xml:space="preserve"> לוקח בחשבון את גובה השכר הממוצע במשק</w:t>
      </w:r>
      <w:r>
        <w:rPr>
          <w:rFonts w:ascii="FrankRuehl" w:hAnsi="FrankRuehl" w:hint="cs"/>
          <w:color w:val="000000" w:themeColor="text1"/>
          <w:sz w:val="28"/>
          <w:rtl/>
        </w:rPr>
        <w:t>,</w:t>
      </w:r>
      <w:r w:rsidRPr="0071266B">
        <w:rPr>
          <w:rFonts w:ascii="FrankRuehl" w:hAnsi="FrankRuehl"/>
          <w:color w:val="000000" w:themeColor="text1"/>
          <w:sz w:val="28"/>
          <w:rtl/>
        </w:rPr>
        <w:t xml:space="preserve"> הלכה למעשה אין קשר בין נתון זה לבין אבדן החירות. במסגרת תקנות העונשין, המחוקק יצר פרמטר אחיד לפיצוי בגין אבדן החירות ולכן בחר בנתון סטטיסטי שאיננו לוקח בחשבון את הפסדי השכר של התובע הספציפי. אבדן החירות הוא קשה מנשוא לעני ולעשיר באותה המידה ללא קשר לאבדן ההשתכרות בזמן הכליאה. לכן אין רלוונטיות לכך שכליאת השווא התבצעה בשטחי הרשות הפלסטינית שם השכר הממוצע במשך נמוך בהרבה מן השכר הממוצע בישראל. </w:t>
      </w:r>
      <w:r>
        <w:rPr>
          <w:rFonts w:ascii="FrankRuehl" w:hAnsi="FrankRuehl" w:hint="cs"/>
          <w:sz w:val="28"/>
          <w:rtl/>
        </w:rPr>
        <w:t>כפי שנפסק,</w:t>
      </w:r>
      <w:r w:rsidRPr="0071266B">
        <w:rPr>
          <w:rFonts w:ascii="FrankRuehl" w:hAnsi="FrankRuehl"/>
          <w:sz w:val="28"/>
          <w:rtl/>
        </w:rPr>
        <w:t xml:space="preserve"> הערכת הפיצוי בגין הנזק הלא ממוני</w:t>
      </w:r>
      <w:r w:rsidRPr="0071266B">
        <w:rPr>
          <w:rFonts w:ascii="David" w:hAnsi="David"/>
          <w:sz w:val="26"/>
          <w:szCs w:val="26"/>
          <w:rtl/>
        </w:rPr>
        <w:t xml:space="preserve"> </w:t>
      </w:r>
      <w:r w:rsidRPr="002B45BD">
        <w:rPr>
          <w:rFonts w:ascii="FrankRuehl" w:hAnsi="FrankRuehl"/>
          <w:sz w:val="28"/>
          <w:rtl/>
        </w:rPr>
        <w:t xml:space="preserve">נעשית </w:t>
      </w:r>
      <w:r>
        <w:rPr>
          <w:rFonts w:ascii="Miriam" w:hAnsi="Miriam" w:cs="Miriam" w:hint="cs"/>
          <w:rtl/>
        </w:rPr>
        <w:t>"</w:t>
      </w:r>
      <w:r w:rsidRPr="00BE5719">
        <w:rPr>
          <w:rFonts w:ascii="Miriam" w:hAnsi="Miriam" w:cs="Miriam"/>
          <w:sz w:val="24"/>
          <w:szCs w:val="24"/>
          <w:rtl/>
        </w:rPr>
        <w:t xml:space="preserve">על-פי אמות המידה הישראליות המשקפות את ההערכה הישראלית בעניין זה", </w:t>
      </w:r>
      <w:r w:rsidRPr="0071266B">
        <w:rPr>
          <w:rFonts w:ascii="FrankRuehl" w:hAnsi="FrankRuehl"/>
          <w:sz w:val="28"/>
          <w:rtl/>
        </w:rPr>
        <w:t>ללא התחשבות ב</w:t>
      </w:r>
      <w:r>
        <w:rPr>
          <w:rFonts w:ascii="FrankRuehl" w:hAnsi="FrankRuehl" w:hint="cs"/>
          <w:sz w:val="28"/>
          <w:rtl/>
        </w:rPr>
        <w:t xml:space="preserve">מקום מושבו של הנפגע </w:t>
      </w:r>
      <w:r w:rsidRPr="00BE5719">
        <w:rPr>
          <w:rFonts w:hint="cs"/>
          <w:sz w:val="28"/>
          <w:rtl/>
        </w:rPr>
        <w:t>בעת האירוע או בעת פסיקת הפיצוי</w:t>
      </w:r>
      <w:r w:rsidRPr="0071266B">
        <w:rPr>
          <w:szCs w:val="26"/>
          <w:rtl/>
        </w:rPr>
        <w:t xml:space="preserve"> (</w:t>
      </w:r>
      <w:r w:rsidRPr="00A43E4B">
        <w:rPr>
          <w:sz w:val="28"/>
          <w:rtl/>
        </w:rPr>
        <w:t>ע"א 702/87</w:t>
      </w:r>
      <w:r w:rsidRPr="0071266B">
        <w:rPr>
          <w:szCs w:val="26"/>
          <w:rtl/>
        </w:rPr>
        <w:t xml:space="preserve"> </w:t>
      </w:r>
      <w:r w:rsidRPr="00996E06">
        <w:rPr>
          <w:rFonts w:ascii="Miriam" w:hAnsi="Miriam" w:cs="Miriam"/>
          <w:sz w:val="24"/>
          <w:szCs w:val="24"/>
          <w:rtl/>
        </w:rPr>
        <w:t>מדינת ישראל נ' ג'ון כ</w:t>
      </w:r>
      <w:r w:rsidRPr="00E20107">
        <w:rPr>
          <w:rFonts w:ascii="Miriam" w:hAnsi="Miriam" w:cs="Miriam"/>
          <w:sz w:val="24"/>
          <w:szCs w:val="24"/>
          <w:rtl/>
        </w:rPr>
        <w:t>הן</w:t>
      </w:r>
      <w:r w:rsidRPr="0071266B">
        <w:rPr>
          <w:szCs w:val="26"/>
          <w:rtl/>
        </w:rPr>
        <w:t xml:space="preserve">, </w:t>
      </w:r>
      <w:r w:rsidRPr="00A43E4B">
        <w:rPr>
          <w:sz w:val="28"/>
          <w:rtl/>
        </w:rPr>
        <w:t>פ"ד מח(2) 705, 727 (1994)</w:t>
      </w:r>
      <w:r>
        <w:rPr>
          <w:rFonts w:hint="cs"/>
          <w:sz w:val="28"/>
          <w:rtl/>
        </w:rPr>
        <w:t>)</w:t>
      </w:r>
      <w:r w:rsidRPr="00A43E4B">
        <w:rPr>
          <w:sz w:val="28"/>
          <w:rtl/>
        </w:rPr>
        <w:t>.</w:t>
      </w:r>
    </w:p>
    <w:p w:rsidR="0047397E" w:rsidRPr="0071266B" w:rsidRDefault="0047397E" w:rsidP="0047397E">
      <w:pPr>
        <w:pStyle w:val="Ruller41"/>
        <w:rPr>
          <w:szCs w:val="26"/>
        </w:rPr>
      </w:pPr>
    </w:p>
    <w:p w:rsidR="0047397E" w:rsidRDefault="0047397E" w:rsidP="0047397E">
      <w:pPr>
        <w:pStyle w:val="Ruller4"/>
        <w:numPr>
          <w:ilvl w:val="0"/>
          <w:numId w:val="0"/>
        </w:numPr>
        <w:textAlignment w:val="auto"/>
        <w:rPr>
          <w:color w:val="000000" w:themeColor="text1"/>
          <w:rtl/>
        </w:rPr>
      </w:pPr>
      <w:r>
        <w:rPr>
          <w:rFonts w:hint="cs"/>
          <w:color w:val="000000" w:themeColor="text1"/>
          <w:rtl/>
        </w:rPr>
        <w:t xml:space="preserve">נוכח האמור אני פוסקת לתובע בגין אבדן החרות </w:t>
      </w:r>
      <w:r w:rsidRPr="007355C3">
        <w:rPr>
          <w:rFonts w:hint="cs"/>
          <w:b/>
          <w:bCs/>
          <w:color w:val="000000" w:themeColor="text1"/>
          <w:u w:val="single"/>
          <w:rtl/>
        </w:rPr>
        <w:t xml:space="preserve">סך של 1,270,000 </w:t>
      </w:r>
      <w:r w:rsidRPr="007355C3">
        <w:rPr>
          <w:rFonts w:hint="eastAsia"/>
          <w:b/>
          <w:bCs/>
          <w:color w:val="000000" w:themeColor="text1"/>
          <w:u w:val="single"/>
          <w:rtl/>
        </w:rPr>
        <w:t>₪</w:t>
      </w:r>
      <w:r w:rsidRPr="007355C3">
        <w:rPr>
          <w:rFonts w:hint="cs"/>
          <w:b/>
          <w:bCs/>
          <w:color w:val="000000" w:themeColor="text1"/>
          <w:u w:val="single"/>
          <w:rtl/>
        </w:rPr>
        <w:t xml:space="preserve"> נכון למועד פסק הדין.</w:t>
      </w:r>
      <w:r>
        <w:rPr>
          <w:rFonts w:hint="cs"/>
          <w:color w:val="000000" w:themeColor="text1"/>
          <w:rtl/>
        </w:rPr>
        <w:t xml:space="preserve">  </w:t>
      </w:r>
    </w:p>
    <w:p w:rsidR="0047397E" w:rsidRDefault="0047397E" w:rsidP="0047397E">
      <w:pPr>
        <w:pStyle w:val="Ruller41"/>
        <w:rPr>
          <w:rtl/>
        </w:rPr>
      </w:pPr>
    </w:p>
    <w:p w:rsidR="0047397E" w:rsidRDefault="0047397E" w:rsidP="0047397E">
      <w:pPr>
        <w:pStyle w:val="Ruller41"/>
        <w:rPr>
          <w:rtl/>
        </w:rPr>
      </w:pPr>
      <w:r>
        <w:rPr>
          <w:rFonts w:hint="cs"/>
          <w:rtl/>
        </w:rPr>
        <w:t>72.</w:t>
      </w:r>
      <w:r>
        <w:rPr>
          <w:rFonts w:hint="cs"/>
          <w:rtl/>
        </w:rPr>
        <w:tab/>
        <w:t xml:space="preserve">כפי שנקבע בעניין </w:t>
      </w:r>
      <w:r w:rsidRPr="00657E2F">
        <w:rPr>
          <w:rFonts w:ascii="Miriam" w:hAnsi="Miriam" w:cs="Miriam"/>
          <w:szCs w:val="24"/>
          <w:rtl/>
        </w:rPr>
        <w:t>פלונים</w:t>
      </w:r>
      <w:r>
        <w:rPr>
          <w:rFonts w:hint="cs"/>
          <w:rtl/>
        </w:rPr>
        <w:t xml:space="preserve">, הפיצוי שנפסק בעניינם של התובעים שם, ואשר נגזר מתקנות העונשין, מפצה אך ורק על אבדן החירות. </w:t>
      </w:r>
      <w:r>
        <w:rPr>
          <w:rtl/>
        </w:rPr>
        <w:t xml:space="preserve">בענייננו אין המדובר </w:t>
      </w:r>
      <w:r>
        <w:rPr>
          <w:rFonts w:hint="cs"/>
          <w:rtl/>
        </w:rPr>
        <w:t xml:space="preserve">רק </w:t>
      </w:r>
      <w:r>
        <w:rPr>
          <w:rtl/>
        </w:rPr>
        <w:t xml:space="preserve">בכליאת </w:t>
      </w:r>
      <w:r>
        <w:rPr>
          <w:rFonts w:hint="cs"/>
          <w:rtl/>
        </w:rPr>
        <w:t xml:space="preserve">שווא שכאמור </w:t>
      </w:r>
      <w:r>
        <w:rPr>
          <w:rtl/>
        </w:rPr>
        <w:t>גור</w:t>
      </w:r>
      <w:r>
        <w:rPr>
          <w:rFonts w:hint="cs"/>
          <w:rtl/>
        </w:rPr>
        <w:t>מת</w:t>
      </w:r>
      <w:r>
        <w:rPr>
          <w:rtl/>
        </w:rPr>
        <w:t xml:space="preserve"> בעיקר לפגיעה בחירות, </w:t>
      </w:r>
      <w:r>
        <w:rPr>
          <w:rFonts w:hint="cs"/>
          <w:rtl/>
        </w:rPr>
        <w:t>ל</w:t>
      </w:r>
      <w:r>
        <w:rPr>
          <w:rtl/>
        </w:rPr>
        <w:t>בושה ו</w:t>
      </w:r>
      <w:r>
        <w:rPr>
          <w:rFonts w:hint="cs"/>
          <w:rtl/>
        </w:rPr>
        <w:t>ל</w:t>
      </w:r>
      <w:r>
        <w:rPr>
          <w:rtl/>
        </w:rPr>
        <w:t>תחושת חוסר אונים</w:t>
      </w:r>
      <w:r>
        <w:rPr>
          <w:rFonts w:hint="cs"/>
          <w:rtl/>
        </w:rPr>
        <w:t>,</w:t>
      </w:r>
      <w:r>
        <w:rPr>
          <w:rtl/>
        </w:rPr>
        <w:t xml:space="preserve"> אלא </w:t>
      </w:r>
      <w:r>
        <w:rPr>
          <w:rFonts w:hint="cs"/>
          <w:rtl/>
        </w:rPr>
        <w:t xml:space="preserve">מדובר בכליאת שווא </w:t>
      </w:r>
      <w:r>
        <w:rPr>
          <w:rtl/>
        </w:rPr>
        <w:t xml:space="preserve">שבמהלכה התובע </w:t>
      </w:r>
      <w:r>
        <w:rPr>
          <w:rFonts w:hint="cs"/>
          <w:rtl/>
        </w:rPr>
        <w:t>חווה עינויים קשים והשפלות. והגם שלא שוכנעתי כי העינויים היו על בסיס קבוע אלא בעיקר בזמן החקירות ובעת שחשדו שהתובע ממשיך ליצור קשר עם ישראל מתוך הכלא,</w:t>
      </w:r>
      <w:r>
        <w:rPr>
          <w:rFonts w:hint="cs"/>
          <w:color w:val="FF0000"/>
          <w:rtl/>
        </w:rPr>
        <w:t xml:space="preserve"> </w:t>
      </w:r>
      <w:r>
        <w:rPr>
          <w:rFonts w:hint="cs"/>
          <w:rtl/>
        </w:rPr>
        <w:t xml:space="preserve">הרי שעצם הימצאותו של אסיר חסר אונים, </w:t>
      </w:r>
      <w:r w:rsidRPr="000E12D2">
        <w:rPr>
          <w:rFonts w:hint="cs"/>
          <w:u w:val="single"/>
          <w:rtl/>
        </w:rPr>
        <w:t>בפחד תמידי</w:t>
      </w:r>
      <w:r>
        <w:rPr>
          <w:rFonts w:hint="cs"/>
          <w:rtl/>
        </w:rPr>
        <w:t xml:space="preserve"> מפני עינויים והשפלות, מצדיק לפסוק פיצוי בסכום גבוה מן הסכומים שנפסקים </w:t>
      </w:r>
      <w:r>
        <w:rPr>
          <w:rtl/>
        </w:rPr>
        <w:t xml:space="preserve">בגין </w:t>
      </w:r>
      <w:r>
        <w:rPr>
          <w:rFonts w:hint="cs"/>
          <w:rtl/>
        </w:rPr>
        <w:t>אבדן החרות ב</w:t>
      </w:r>
      <w:r>
        <w:rPr>
          <w:rtl/>
        </w:rPr>
        <w:t xml:space="preserve">מעצרי שווא. </w:t>
      </w:r>
      <w:r>
        <w:rPr>
          <w:rFonts w:hint="cs"/>
          <w:rtl/>
        </w:rPr>
        <w:t xml:space="preserve"> </w:t>
      </w:r>
    </w:p>
    <w:p w:rsidR="0047397E" w:rsidRDefault="0047397E" w:rsidP="0047397E">
      <w:pPr>
        <w:pStyle w:val="Ruller41"/>
        <w:rPr>
          <w:rtl/>
        </w:rPr>
      </w:pPr>
    </w:p>
    <w:p w:rsidR="0047397E" w:rsidRDefault="0047397E" w:rsidP="0047397E">
      <w:pPr>
        <w:pStyle w:val="Ruller41"/>
        <w:rPr>
          <w:rtl/>
        </w:rPr>
      </w:pPr>
      <w:r>
        <w:rPr>
          <w:rFonts w:hint="cs"/>
          <w:rtl/>
        </w:rPr>
        <w:t>73.</w:t>
      </w:r>
      <w:r>
        <w:rPr>
          <w:rFonts w:hint="cs"/>
          <w:rtl/>
        </w:rPr>
        <w:tab/>
        <w:t xml:space="preserve">עם זאת, נוכח העובדה שבענייננו, הנזק שנגרם לתובע כתוצאה ממעצר השווא ואבדן החירות שלוב באופן שאינו ניתן להפרדה בנזק שנגרם לתובע כתוצאה מן העינויים </w:t>
      </w:r>
      <w:r>
        <w:rPr>
          <w:rFonts w:hint="cs"/>
          <w:rtl/>
        </w:rPr>
        <w:lastRenderedPageBreak/>
        <w:t xml:space="preserve">בתקופת הכליאה, ולא פחות מכך כתוצאה מן הפחד המתמיד שהוא היה נתון בו בזמן הכליאה, ובשים לב לכך שהנכות הצמיתה שנגרמה לתובע עקב המעשים הקשים של הרש"פ הם בתחום הנפשי, באופן שאינו מאפשר להבדיל בין הנזק שנגרם עקב אבדן החירות לבין יתר הנזקים, הפיצוי הנוסף מעבר לפיצוי בגין אבדן החירות, יינתן במסגרת הפיצוי בגין הנזק הלא ממוני. כפי שיפורט להלן.  </w:t>
      </w:r>
    </w:p>
    <w:p w:rsidR="0047397E" w:rsidRDefault="0047397E" w:rsidP="0047397E">
      <w:pPr>
        <w:pStyle w:val="Ruller41"/>
        <w:rPr>
          <w:rtl/>
        </w:rPr>
      </w:pPr>
    </w:p>
    <w:p w:rsidR="0047397E" w:rsidRDefault="0047397E" w:rsidP="0047397E">
      <w:pPr>
        <w:spacing w:line="360" w:lineRule="auto"/>
        <w:ind w:firstLine="44"/>
        <w:contextualSpacing/>
        <w:rPr>
          <w:rFonts w:ascii="FrankRuehl" w:hAnsi="FrankRuehl" w:cs="FrankRuehl"/>
          <w:b/>
          <w:bCs/>
          <w:sz w:val="28"/>
          <w:szCs w:val="28"/>
          <w:u w:val="single"/>
          <w:rtl/>
        </w:rPr>
      </w:pPr>
      <w:r w:rsidRPr="00AF43FB">
        <w:rPr>
          <w:rFonts w:ascii="FrankRuehl" w:hAnsi="FrankRuehl" w:cs="FrankRuehl"/>
          <w:b/>
          <w:bCs/>
          <w:sz w:val="28"/>
          <w:szCs w:val="28"/>
          <w:u w:val="single"/>
          <w:rtl/>
        </w:rPr>
        <w:t>הנכות הרפואית</w:t>
      </w:r>
    </w:p>
    <w:p w:rsidR="0047397E" w:rsidRDefault="0047397E" w:rsidP="0047397E">
      <w:pPr>
        <w:spacing w:line="360" w:lineRule="auto"/>
        <w:ind w:firstLine="44"/>
        <w:contextualSpacing/>
        <w:jc w:val="both"/>
        <w:rPr>
          <w:rFonts w:ascii="FrankRuehl" w:hAnsi="FrankRuehl" w:cs="FrankRuehl"/>
          <w:b/>
          <w:bCs/>
          <w:sz w:val="28"/>
          <w:szCs w:val="28"/>
          <w:u w:val="single"/>
          <w:rtl/>
        </w:rPr>
      </w:pPr>
    </w:p>
    <w:p w:rsidR="0047397E" w:rsidRDefault="0047397E" w:rsidP="0047397E">
      <w:pPr>
        <w:spacing w:line="360" w:lineRule="auto"/>
        <w:ind w:firstLine="44"/>
        <w:contextualSpacing/>
        <w:jc w:val="both"/>
        <w:rPr>
          <w:rFonts w:ascii="FrankRuehl" w:hAnsi="FrankRuehl" w:cs="FrankRuehl"/>
          <w:sz w:val="28"/>
          <w:szCs w:val="28"/>
          <w:rtl/>
        </w:rPr>
      </w:pPr>
      <w:r w:rsidRPr="006A1E05">
        <w:rPr>
          <w:rFonts w:ascii="FrankRuehl" w:hAnsi="FrankRuehl" w:cs="FrankRuehl" w:hint="cs"/>
          <w:sz w:val="28"/>
          <w:szCs w:val="28"/>
          <w:rtl/>
        </w:rPr>
        <w:t>74.</w:t>
      </w:r>
      <w:r w:rsidRPr="006A1E05">
        <w:rPr>
          <w:rFonts w:ascii="FrankRuehl" w:hAnsi="FrankRuehl" w:cs="FrankRuehl" w:hint="cs"/>
          <w:sz w:val="28"/>
          <w:szCs w:val="28"/>
          <w:rtl/>
        </w:rPr>
        <w:tab/>
      </w:r>
      <w:r w:rsidRPr="001762B9">
        <w:rPr>
          <w:rFonts w:ascii="FrankRuehl" w:hAnsi="FrankRuehl" w:cs="FrankRuehl" w:hint="cs"/>
          <w:sz w:val="28"/>
          <w:szCs w:val="28"/>
          <w:rtl/>
        </w:rPr>
        <w:t>התובע הגיש</w:t>
      </w:r>
      <w:r>
        <w:rPr>
          <w:rFonts w:ascii="FrankRuehl" w:hAnsi="FrankRuehl" w:cs="FrankRuehl" w:hint="cs"/>
          <w:sz w:val="28"/>
          <w:szCs w:val="28"/>
          <w:rtl/>
        </w:rPr>
        <w:t xml:space="preserve"> חוות דעת רפואית בתחום הפסיכיאטריה, מאת ד"ר אלון אשמן. ד"ר אשמן בדק את התובע וקבע בחוות דעתו מיום 30.8.2019 כי התובע סובל מפוסט טראומה לאחר שעבר עינויים בכלא הפלסטיני. המומחה ציין שהתובע סובל מעוררות יתר, קשיי ריכוז, אינו מצליח להתגבר על הזיכרונות הקשים שמציפים אותו, מתקשה לתפקד במסגרות תעסוקתיות וממעט בפעילות חברתית. ד"ר אשמן קבע לתובע נכות צמיתה בשיעור של 20%.    </w:t>
      </w:r>
    </w:p>
    <w:p w:rsidR="0047397E" w:rsidRDefault="0047397E" w:rsidP="0047397E">
      <w:pPr>
        <w:spacing w:line="360" w:lineRule="auto"/>
        <w:ind w:firstLine="44"/>
        <w:contextualSpacing/>
        <w:jc w:val="both"/>
        <w:rPr>
          <w:rFonts w:ascii="FrankRuehl" w:hAnsi="FrankRuehl" w:cs="FrankRuehl"/>
          <w:sz w:val="28"/>
          <w:szCs w:val="28"/>
          <w:rtl/>
        </w:rPr>
      </w:pPr>
    </w:p>
    <w:p w:rsidR="0047397E" w:rsidRDefault="0047397E" w:rsidP="0047397E">
      <w:pPr>
        <w:spacing w:line="360" w:lineRule="auto"/>
        <w:ind w:firstLine="44"/>
        <w:contextualSpacing/>
        <w:jc w:val="both"/>
        <w:rPr>
          <w:rFonts w:ascii="FrankRuehl" w:hAnsi="FrankRuehl" w:cs="FrankRuehl"/>
          <w:sz w:val="28"/>
          <w:szCs w:val="28"/>
          <w:rtl/>
        </w:rPr>
      </w:pPr>
      <w:r>
        <w:rPr>
          <w:rFonts w:ascii="FrankRuehl" w:hAnsi="FrankRuehl" w:cs="FrankRuehl" w:hint="cs"/>
          <w:sz w:val="28"/>
          <w:szCs w:val="28"/>
          <w:rtl/>
        </w:rPr>
        <w:t>75.</w:t>
      </w:r>
      <w:r>
        <w:rPr>
          <w:rFonts w:ascii="FrankRuehl" w:hAnsi="FrankRuehl" w:cs="FrankRuehl" w:hint="cs"/>
          <w:sz w:val="28"/>
          <w:szCs w:val="28"/>
          <w:rtl/>
        </w:rPr>
        <w:tab/>
        <w:t xml:space="preserve">הרש"פ הגישה אף היא חוות דעת רפואית מטעמה בתחום הפסיכיאטריה, מאת ד"ר נועה קרת. ד"ר קרת בדקה את התובע וציינה בחוות דעתה מיום 6.5.2020 שהתובע מתאר תסמינים בתר חבלתיים. ד"ר קרת קבעה לתובע נכות בשיעור 10%. </w:t>
      </w:r>
    </w:p>
    <w:p w:rsidR="0047397E" w:rsidRDefault="0047397E" w:rsidP="0047397E">
      <w:pPr>
        <w:tabs>
          <w:tab w:val="left" w:pos="1076"/>
        </w:tabs>
        <w:spacing w:line="360" w:lineRule="auto"/>
        <w:jc w:val="both"/>
        <w:rPr>
          <w:rFonts w:ascii="FrankRuehl" w:hAnsi="FrankRuehl" w:cs="FrankRuehl"/>
          <w:sz w:val="28"/>
          <w:szCs w:val="28"/>
          <w:rtl/>
        </w:rPr>
      </w:pPr>
    </w:p>
    <w:p w:rsidR="0047397E" w:rsidRDefault="0047397E" w:rsidP="0047397E">
      <w:pPr>
        <w:spacing w:line="360" w:lineRule="auto"/>
        <w:jc w:val="both"/>
        <w:rPr>
          <w:rFonts w:ascii="FrankRuehl" w:hAnsi="FrankRuehl" w:cs="FrankRuehl"/>
          <w:b/>
          <w:bCs/>
          <w:sz w:val="28"/>
          <w:szCs w:val="28"/>
          <w:u w:val="single"/>
          <w:rtl/>
        </w:rPr>
      </w:pPr>
      <w:r>
        <w:rPr>
          <w:rFonts w:ascii="FrankRuehl" w:hAnsi="FrankRuehl" w:cs="FrankRuehl" w:hint="cs"/>
          <w:sz w:val="28"/>
          <w:szCs w:val="28"/>
          <w:rtl/>
        </w:rPr>
        <w:t>76.</w:t>
      </w:r>
      <w:r>
        <w:rPr>
          <w:rFonts w:ascii="FrankRuehl" w:hAnsi="FrankRuehl" w:cs="FrankRuehl" w:hint="cs"/>
          <w:sz w:val="28"/>
          <w:szCs w:val="28"/>
          <w:rtl/>
        </w:rPr>
        <w:tab/>
        <w:t xml:space="preserve"> הצדדים הגיעו להסכמה לפיה הנכות הרפואית של התובע היא בשיעור 15% (ראו הודעות הצדדים מיום 18.6.2020 ו - 1.7.2020). </w:t>
      </w:r>
    </w:p>
    <w:p w:rsidR="0047397E" w:rsidRPr="000E12D2" w:rsidRDefault="0047397E" w:rsidP="0047397E">
      <w:pPr>
        <w:spacing w:line="480" w:lineRule="auto"/>
        <w:contextualSpacing/>
        <w:jc w:val="both"/>
        <w:rPr>
          <w:rFonts w:ascii="FrankRuehl" w:hAnsi="FrankRuehl" w:cs="FrankRuehl"/>
          <w:b/>
          <w:bCs/>
          <w:sz w:val="16"/>
          <w:szCs w:val="16"/>
        </w:rPr>
      </w:pPr>
    </w:p>
    <w:p w:rsidR="0047397E" w:rsidRDefault="0047397E" w:rsidP="0047397E">
      <w:pPr>
        <w:spacing w:line="360" w:lineRule="auto"/>
        <w:ind w:firstLine="44"/>
        <w:contextualSpacing/>
        <w:rPr>
          <w:rFonts w:ascii="FrankRuehl" w:hAnsi="FrankRuehl" w:cs="FrankRuehl"/>
          <w:b/>
          <w:bCs/>
          <w:sz w:val="28"/>
          <w:szCs w:val="28"/>
          <w:u w:val="single"/>
          <w:rtl/>
        </w:rPr>
      </w:pPr>
      <w:r w:rsidRPr="00AF43FB">
        <w:rPr>
          <w:rFonts w:ascii="FrankRuehl" w:hAnsi="FrankRuehl" w:cs="FrankRuehl"/>
          <w:b/>
          <w:bCs/>
          <w:sz w:val="28"/>
          <w:szCs w:val="28"/>
          <w:u w:val="single"/>
          <w:rtl/>
        </w:rPr>
        <w:t xml:space="preserve">גריעה מכושר ההשתכרות </w:t>
      </w:r>
      <w:r>
        <w:rPr>
          <w:rFonts w:ascii="FrankRuehl" w:hAnsi="FrankRuehl" w:cs="FrankRuehl" w:hint="cs"/>
          <w:b/>
          <w:bCs/>
          <w:sz w:val="28"/>
          <w:szCs w:val="28"/>
          <w:u w:val="single"/>
          <w:rtl/>
        </w:rPr>
        <w:t>והפסדי השכר</w:t>
      </w:r>
    </w:p>
    <w:p w:rsidR="0047397E" w:rsidRDefault="0047397E" w:rsidP="0047397E">
      <w:pPr>
        <w:spacing w:line="360" w:lineRule="auto"/>
        <w:ind w:firstLine="44"/>
        <w:contextualSpacing/>
        <w:rPr>
          <w:rFonts w:ascii="FrankRuehl" w:hAnsi="FrankRuehl" w:cs="FrankRuehl"/>
          <w:b/>
          <w:bCs/>
          <w:sz w:val="28"/>
          <w:szCs w:val="28"/>
          <w:u w:val="single"/>
          <w:rtl/>
        </w:rPr>
      </w:pPr>
    </w:p>
    <w:p w:rsidR="0047397E" w:rsidRDefault="0047397E" w:rsidP="0047397E">
      <w:pPr>
        <w:spacing w:line="360" w:lineRule="auto"/>
        <w:ind w:firstLine="44"/>
        <w:contextualSpacing/>
        <w:jc w:val="both"/>
        <w:rPr>
          <w:rFonts w:ascii="FrankRuehl" w:hAnsi="FrankRuehl" w:cs="FrankRuehl"/>
          <w:sz w:val="28"/>
          <w:szCs w:val="28"/>
          <w:rtl/>
        </w:rPr>
      </w:pPr>
      <w:r w:rsidRPr="006A1E05">
        <w:rPr>
          <w:rFonts w:ascii="FrankRuehl" w:hAnsi="FrankRuehl" w:cs="FrankRuehl" w:hint="cs"/>
          <w:sz w:val="28"/>
          <w:szCs w:val="28"/>
          <w:rtl/>
        </w:rPr>
        <w:t>77.</w:t>
      </w:r>
      <w:r w:rsidRPr="006A1E05">
        <w:rPr>
          <w:rFonts w:ascii="FrankRuehl" w:hAnsi="FrankRuehl" w:cs="FrankRuehl" w:hint="cs"/>
          <w:sz w:val="28"/>
          <w:szCs w:val="28"/>
          <w:rtl/>
        </w:rPr>
        <w:tab/>
      </w:r>
      <w:r w:rsidRPr="001762B9">
        <w:rPr>
          <w:rFonts w:ascii="FrankRuehl" w:hAnsi="FrankRuehl" w:cs="FrankRuehl" w:hint="cs"/>
          <w:sz w:val="28"/>
          <w:szCs w:val="28"/>
          <w:rtl/>
        </w:rPr>
        <w:t xml:space="preserve">התובע יליד </w:t>
      </w:r>
      <w:r>
        <w:rPr>
          <w:rFonts w:ascii="FrankRuehl" w:hAnsi="FrankRuehl" w:cs="FrankRuehl" w:hint="cs"/>
          <w:sz w:val="28"/>
          <w:szCs w:val="28"/>
          <w:rtl/>
        </w:rPr>
        <w:t xml:space="preserve">27.2.1983. נעצר על ידי הרש"פ ביום 20.4.2008 בעת שהיה בן 25. התובע שוחרר מן הכלא לאחר 7 שנים, ביום 20.4.2015  בעת שהיה בן 32, וכיום הוא בן 39. בתצהירו, תיאר התובע שלפני המעצר הוא עבד כקבלן שיפוצים וממוצע שכרו עמד על 10,000 ₪. לטענתו במצבו כיום הוא אינו יכול לעבוד כקבלן שיפוצים והוא עובד בעבודות מזדמנות ומשתכר בממוצע סך של 4,000 ₪ לחודש. למומחית מטעם הנתבעת, הד"ר נועה קרת,  תיאר התובע שהוא סיים 10 שנות לימוד ולאחר מכן עזב את הלימודים ויצא לעבוד בשיפוצים בישראל. עוד סיפר </w:t>
      </w:r>
      <w:r>
        <w:rPr>
          <w:rFonts w:ascii="FrankRuehl" w:hAnsi="FrankRuehl" w:cs="FrankRuehl" w:hint="cs"/>
          <w:sz w:val="28"/>
          <w:szCs w:val="28"/>
          <w:rtl/>
        </w:rPr>
        <w:lastRenderedPageBreak/>
        <w:t xml:space="preserve">התובע למומחית, שהוא עבד עם הרבה קבלנים יהודים אך לא ציין שעבד כקבלן שיפוצים. התובע לא הביא כל ראיה להוכחת טענותיו לפיהן הוא עבד כקבלן שיפוצים לפני המעצר ואף לא לכך שהשתכר 10,000 ₪. זאת  על אף שעבד בשטח ישראל, ולא ניתן הסבר מדוע לא עלה בידו למצוא אף לא עד אחד שיתמוך בטענותיו. התובע מאשר שלא היה לו אישור שהייה בישראל לפני המעצר (עמ' 8 שו' 20), ואף עתה אין לו אישור שהייה בישראל (סעיף 3 לתצהיר התובע). מכאן שלתובע לא היה ביטחון תעסוקתי </w:t>
      </w:r>
      <w:r w:rsidRPr="000E12D2">
        <w:rPr>
          <w:rFonts w:ascii="FrankRuehl" w:hAnsi="FrankRuehl" w:cs="FrankRuehl" w:hint="cs"/>
          <w:sz w:val="28"/>
          <w:szCs w:val="28"/>
          <w:u w:val="single"/>
          <w:rtl/>
        </w:rPr>
        <w:t>בישראל</w:t>
      </w:r>
      <w:r>
        <w:rPr>
          <w:rFonts w:ascii="FrankRuehl" w:hAnsi="FrankRuehl" w:cs="FrankRuehl" w:hint="cs"/>
          <w:sz w:val="28"/>
          <w:szCs w:val="28"/>
          <w:rtl/>
        </w:rPr>
        <w:t xml:space="preserve"> הן לפני המעצר והן לאחריו. נוכח האמור, אני רואה להעמיד את שכרו של התובע בתקופת מגוריו בישראל, מאז שחרורו מן הכלא, בגובה שכר המינימום בישראל העומד היום על 5,300 ₪.  עם זאת, לגבי התקופה שבה התובע חי בשטחי הרשות הפלסטינית, אין מקום לתת פיצוי לפי גובה השכר בישראל וכן אין לתת בגין תקופה זו הפסדי פנסיה, אלא יש לפסוק בהתאם לתנאי השכר בשטחי הרשות הפלסטינית. נוכח גילו הצעיר של התובע בעת מעצרו, יש להעמיד שכר זה על השכר הממוצע במשק בשטחי הרשות הפלסטינית. הצדדים לא הגישו ראיות בשאלת השכר הממוצע במשק בשטחי הרשות ולכן אני רואה לקבוע את גובה את השכר הממוצע במשק בשטחי הרש"פ, מפסיקה עדכנית שדנה בנושא זה. בשים לב לפסיקה העדכנית בנושא, אני מעמידה את השכר הממוצע במשק ברש"פ על 2,700 ₪ (ראו ת"א (מחוזי ת"א) 30640-01-15 </w:t>
      </w:r>
      <w:r w:rsidRPr="000E12D2">
        <w:rPr>
          <w:rFonts w:ascii="Miriam" w:hAnsi="Miriam" w:cs="Miriam"/>
          <w:rtl/>
        </w:rPr>
        <w:t>פלונית נ' כץ</w:t>
      </w:r>
      <w:r>
        <w:rPr>
          <w:rFonts w:ascii="FrankRuehl" w:hAnsi="FrankRuehl" w:cs="FrankRuehl" w:hint="cs"/>
          <w:sz w:val="28"/>
          <w:szCs w:val="28"/>
          <w:rtl/>
        </w:rPr>
        <w:t xml:space="preserve"> (17.5.2020) שאושר על ידי בית המשפט  עליון בע"א 4258/20 </w:t>
      </w:r>
      <w:r w:rsidRPr="000E12D2">
        <w:rPr>
          <w:rFonts w:ascii="Miriam" w:hAnsi="Miriam" w:cs="Miriam"/>
          <w:rtl/>
        </w:rPr>
        <w:t>פלונית נ' פלוני</w:t>
      </w:r>
      <w:r>
        <w:rPr>
          <w:rFonts w:ascii="FrankRuehl" w:hAnsi="FrankRuehl" w:cs="FrankRuehl" w:hint="cs"/>
          <w:sz w:val="28"/>
          <w:szCs w:val="28"/>
          <w:rtl/>
        </w:rPr>
        <w:t xml:space="preserve"> (25.10.2020) וכן ת"א 14078-04-20 </w:t>
      </w:r>
      <w:r w:rsidRPr="000E12D2">
        <w:rPr>
          <w:rFonts w:ascii="Miriam" w:hAnsi="Miriam" w:cs="Miriam"/>
          <w:rtl/>
        </w:rPr>
        <w:t>פלוני נ' אגודת אלמקאסד האסלמית לצדקה בירושלים</w:t>
      </w:r>
      <w:r>
        <w:rPr>
          <w:rFonts w:ascii="FrankRuehl" w:hAnsi="FrankRuehl" w:cs="FrankRuehl" w:hint="cs"/>
          <w:sz w:val="28"/>
          <w:szCs w:val="28"/>
          <w:rtl/>
        </w:rPr>
        <w:t xml:space="preserve"> (2.3.2022)).  </w:t>
      </w:r>
    </w:p>
    <w:p w:rsidR="0047397E" w:rsidRDefault="0047397E" w:rsidP="0047397E">
      <w:pPr>
        <w:spacing w:line="360" w:lineRule="auto"/>
        <w:ind w:firstLine="44"/>
        <w:contextualSpacing/>
        <w:jc w:val="both"/>
        <w:rPr>
          <w:rFonts w:ascii="FrankRuehl" w:hAnsi="FrankRuehl" w:cs="FrankRuehl"/>
          <w:sz w:val="28"/>
          <w:szCs w:val="28"/>
          <w:rtl/>
        </w:rPr>
      </w:pPr>
    </w:p>
    <w:p w:rsidR="0047397E" w:rsidRDefault="0047397E" w:rsidP="0047397E">
      <w:pPr>
        <w:spacing w:line="360" w:lineRule="auto"/>
        <w:ind w:firstLine="44"/>
        <w:contextualSpacing/>
        <w:jc w:val="both"/>
        <w:rPr>
          <w:rFonts w:ascii="FrankRuehl" w:hAnsi="FrankRuehl" w:cs="FrankRuehl"/>
          <w:b/>
          <w:bCs/>
          <w:sz w:val="28"/>
          <w:szCs w:val="28"/>
          <w:u w:val="single"/>
          <w:rtl/>
        </w:rPr>
      </w:pPr>
      <w:r>
        <w:rPr>
          <w:rFonts w:ascii="FrankRuehl" w:hAnsi="FrankRuehl" w:cs="FrankRuehl" w:hint="cs"/>
          <w:sz w:val="28"/>
          <w:szCs w:val="28"/>
          <w:rtl/>
        </w:rPr>
        <w:t>78.</w:t>
      </w:r>
      <w:r>
        <w:rPr>
          <w:rFonts w:ascii="FrankRuehl" w:hAnsi="FrankRuehl" w:cs="FrankRuehl" w:hint="cs"/>
          <w:sz w:val="28"/>
          <w:szCs w:val="28"/>
          <w:rtl/>
        </w:rPr>
        <w:tab/>
        <w:t>בשים לב לגובה הנכות הצמיתה ואופייה, ולכך שלמרות מצבו, התובע מצליח לעבוד בעבודות מזדמנות, ומנגד, נוכח גילו הצעיר של התובע בעת ביצוע העוולות, והפגיעה הקשה מעצם היותו כלוא במשך 7 השנים הקריטיות להתפתחות המקצועית של אדם צעיר,  אני סבורה כי  יש להעמיד את שיעור הגריעה מכושר ההשתכרות על מלא הנכות הרפואית, בשיעור  15%.</w:t>
      </w:r>
    </w:p>
    <w:p w:rsidR="0047397E" w:rsidRDefault="0047397E" w:rsidP="0047397E">
      <w:pPr>
        <w:spacing w:line="360" w:lineRule="auto"/>
        <w:ind w:firstLine="44"/>
        <w:contextualSpacing/>
        <w:jc w:val="both"/>
        <w:rPr>
          <w:rFonts w:ascii="FrankRuehl" w:hAnsi="FrankRuehl" w:cs="FrankRuehl"/>
          <w:b/>
          <w:bCs/>
          <w:sz w:val="28"/>
          <w:szCs w:val="28"/>
          <w:u w:val="single"/>
          <w:rtl/>
        </w:rPr>
      </w:pPr>
    </w:p>
    <w:p w:rsidR="0047397E" w:rsidRDefault="0047397E" w:rsidP="0047397E">
      <w:pPr>
        <w:spacing w:line="360" w:lineRule="auto"/>
        <w:ind w:firstLine="44"/>
        <w:contextualSpacing/>
        <w:jc w:val="both"/>
        <w:rPr>
          <w:rFonts w:ascii="FrankRuehl" w:hAnsi="FrankRuehl" w:cs="FrankRuehl"/>
          <w:sz w:val="28"/>
          <w:szCs w:val="28"/>
          <w:rtl/>
        </w:rPr>
      </w:pPr>
      <w:r w:rsidRPr="006A1E05">
        <w:rPr>
          <w:rFonts w:ascii="FrankRuehl" w:hAnsi="FrankRuehl" w:cs="FrankRuehl" w:hint="cs"/>
          <w:sz w:val="28"/>
          <w:szCs w:val="28"/>
          <w:rtl/>
        </w:rPr>
        <w:t>79.</w:t>
      </w:r>
      <w:r w:rsidRPr="006A1E05">
        <w:rPr>
          <w:rFonts w:ascii="FrankRuehl" w:hAnsi="FrankRuehl" w:cs="FrankRuehl" w:hint="cs"/>
          <w:sz w:val="28"/>
          <w:szCs w:val="28"/>
          <w:rtl/>
        </w:rPr>
        <w:tab/>
      </w:r>
      <w:r>
        <w:rPr>
          <w:rFonts w:ascii="FrankRuehl" w:hAnsi="FrankRuehl" w:cs="FrankRuehl" w:hint="cs"/>
          <w:sz w:val="28"/>
          <w:szCs w:val="28"/>
          <w:rtl/>
        </w:rPr>
        <w:t>נוכח האמור אני פוסקת לתובע פיצוי על הפסדי שכר כדלקמן:</w:t>
      </w:r>
    </w:p>
    <w:p w:rsidR="0047397E" w:rsidRPr="004673B1" w:rsidRDefault="0047397E" w:rsidP="0047397E">
      <w:pPr>
        <w:spacing w:line="360" w:lineRule="auto"/>
        <w:ind w:firstLine="44"/>
        <w:contextualSpacing/>
        <w:jc w:val="both"/>
        <w:rPr>
          <w:rFonts w:ascii="FrankRuehl" w:hAnsi="FrankRuehl" w:cs="FrankRuehl"/>
          <w:sz w:val="12"/>
          <w:szCs w:val="12"/>
          <w:rtl/>
        </w:rPr>
      </w:pPr>
    </w:p>
    <w:p w:rsidR="0047397E" w:rsidRDefault="0047397E" w:rsidP="0047397E">
      <w:pPr>
        <w:spacing w:line="360" w:lineRule="auto"/>
        <w:contextualSpacing/>
        <w:jc w:val="both"/>
        <w:rPr>
          <w:rFonts w:ascii="FrankRuehl" w:hAnsi="FrankRuehl" w:cs="FrankRuehl"/>
          <w:sz w:val="28"/>
          <w:szCs w:val="28"/>
          <w:rtl/>
        </w:rPr>
      </w:pPr>
      <w:r>
        <w:rPr>
          <w:rFonts w:ascii="FrankRuehl" w:hAnsi="FrankRuehl" w:cs="FrankRuehl" w:hint="cs"/>
          <w:sz w:val="28"/>
          <w:szCs w:val="28"/>
          <w:rtl/>
        </w:rPr>
        <w:t xml:space="preserve"> בגין שבע שנות השהות בכלא -  בהתחשב בשכר הממוצע במשק ברש"פ  - פיצוי בסך </w:t>
      </w:r>
      <w:r w:rsidRPr="000E12D2">
        <w:rPr>
          <w:rFonts w:ascii="FrankRuehl" w:hAnsi="FrankRuehl" w:cs="FrankRuehl" w:hint="cs"/>
          <w:b/>
          <w:bCs/>
          <w:sz w:val="28"/>
          <w:szCs w:val="28"/>
          <w:u w:val="single"/>
          <w:rtl/>
        </w:rPr>
        <w:t>227,000 ₪ בתוספת ריבית מאמצע התקופה</w:t>
      </w:r>
      <w:r>
        <w:rPr>
          <w:rFonts w:ascii="FrankRuehl" w:hAnsi="FrankRuehl" w:cs="FrankRuehl" w:hint="cs"/>
          <w:sz w:val="28"/>
          <w:szCs w:val="28"/>
          <w:rtl/>
        </w:rPr>
        <w:t xml:space="preserve">. </w:t>
      </w:r>
    </w:p>
    <w:p w:rsidR="0047397E" w:rsidRPr="000E12D2" w:rsidRDefault="0047397E" w:rsidP="0047397E">
      <w:pPr>
        <w:tabs>
          <w:tab w:val="left" w:pos="1076"/>
        </w:tabs>
        <w:spacing w:line="360" w:lineRule="auto"/>
        <w:jc w:val="both"/>
        <w:rPr>
          <w:rFonts w:ascii="FrankRuehl" w:hAnsi="FrankRuehl" w:cs="FrankRuehl"/>
          <w:b/>
          <w:bCs/>
          <w:sz w:val="28"/>
          <w:szCs w:val="28"/>
          <w:u w:val="single"/>
          <w:rtl/>
        </w:rPr>
      </w:pPr>
      <w:r>
        <w:rPr>
          <w:rFonts w:ascii="FrankRuehl" w:hAnsi="FrankRuehl" w:cs="FrankRuehl" w:hint="cs"/>
          <w:sz w:val="28"/>
          <w:szCs w:val="28"/>
          <w:rtl/>
        </w:rPr>
        <w:lastRenderedPageBreak/>
        <w:t xml:space="preserve">בגין התקופה שמיום השחרור ועד היום (92 חודשים)  - בהתחשב בשיעור גריעה של  15%, שכר בגובה 5,300 ₪, והפסדי פנסיה -  פיצוי בסך </w:t>
      </w:r>
      <w:r>
        <w:rPr>
          <w:rFonts w:ascii="FrankRuehl" w:hAnsi="FrankRuehl" w:cs="FrankRuehl" w:hint="cs"/>
          <w:b/>
          <w:bCs/>
          <w:sz w:val="28"/>
          <w:szCs w:val="28"/>
          <w:u w:val="single"/>
          <w:rtl/>
        </w:rPr>
        <w:t>82</w:t>
      </w:r>
      <w:r w:rsidRPr="004673B1">
        <w:rPr>
          <w:rFonts w:ascii="FrankRuehl" w:hAnsi="FrankRuehl" w:cs="FrankRuehl" w:hint="cs"/>
          <w:b/>
          <w:bCs/>
          <w:sz w:val="28"/>
          <w:szCs w:val="28"/>
          <w:u w:val="single"/>
          <w:rtl/>
        </w:rPr>
        <w:t xml:space="preserve">,000 </w:t>
      </w:r>
      <w:r w:rsidRPr="000E12D2">
        <w:rPr>
          <w:rFonts w:ascii="FrankRuehl" w:hAnsi="FrankRuehl" w:cs="FrankRuehl" w:hint="cs"/>
          <w:b/>
          <w:bCs/>
          <w:sz w:val="28"/>
          <w:szCs w:val="28"/>
          <w:u w:val="single"/>
          <w:rtl/>
        </w:rPr>
        <w:t>₪</w:t>
      </w:r>
      <w:r>
        <w:rPr>
          <w:rFonts w:ascii="FrankRuehl" w:hAnsi="FrankRuehl" w:cs="FrankRuehl" w:hint="cs"/>
          <w:b/>
          <w:bCs/>
          <w:sz w:val="28"/>
          <w:szCs w:val="28"/>
          <w:u w:val="single"/>
          <w:rtl/>
        </w:rPr>
        <w:t xml:space="preserve"> (במעוגל)</w:t>
      </w:r>
      <w:r w:rsidRPr="000E12D2">
        <w:rPr>
          <w:rFonts w:ascii="FrankRuehl" w:hAnsi="FrankRuehl" w:cs="FrankRuehl" w:hint="cs"/>
          <w:b/>
          <w:bCs/>
          <w:sz w:val="28"/>
          <w:szCs w:val="28"/>
          <w:u w:val="single"/>
          <w:rtl/>
        </w:rPr>
        <w:t xml:space="preserve"> בתוספת ריבית מאמצע התקופה. </w:t>
      </w:r>
    </w:p>
    <w:p w:rsidR="0047397E" w:rsidRPr="000E12D2" w:rsidRDefault="0047397E" w:rsidP="0047397E">
      <w:pPr>
        <w:tabs>
          <w:tab w:val="left" w:pos="1076"/>
        </w:tabs>
        <w:spacing w:line="360" w:lineRule="auto"/>
        <w:jc w:val="both"/>
        <w:rPr>
          <w:rFonts w:ascii="FrankRuehl" w:hAnsi="FrankRuehl" w:cs="FrankRuehl"/>
          <w:b/>
          <w:bCs/>
          <w:sz w:val="28"/>
          <w:szCs w:val="28"/>
          <w:u w:val="single"/>
          <w:rtl/>
        </w:rPr>
      </w:pPr>
      <w:r>
        <w:rPr>
          <w:rFonts w:ascii="FrankRuehl" w:hAnsi="FrankRuehl" w:cs="FrankRuehl" w:hint="cs"/>
          <w:sz w:val="28"/>
          <w:szCs w:val="28"/>
          <w:rtl/>
        </w:rPr>
        <w:t xml:space="preserve">בגין הפסדי שכר לעתיד - בהתחשב בשיעור הגריעה של  15% ושכר בגובה  5,300 ₪, היוון בשיעור 227.1347 והפסדי פנסיה -  פיצוי בסך </w:t>
      </w:r>
      <w:r w:rsidRPr="000E12D2">
        <w:rPr>
          <w:rFonts w:ascii="FrankRuehl" w:hAnsi="FrankRuehl" w:cs="FrankRuehl" w:hint="cs"/>
          <w:b/>
          <w:bCs/>
          <w:sz w:val="28"/>
          <w:szCs w:val="28"/>
          <w:u w:val="single"/>
          <w:rtl/>
        </w:rPr>
        <w:t>20</w:t>
      </w:r>
      <w:r>
        <w:rPr>
          <w:rFonts w:ascii="FrankRuehl" w:hAnsi="FrankRuehl" w:cs="FrankRuehl" w:hint="cs"/>
          <w:b/>
          <w:bCs/>
          <w:sz w:val="28"/>
          <w:szCs w:val="28"/>
          <w:u w:val="single"/>
          <w:rtl/>
        </w:rPr>
        <w:t>2</w:t>
      </w:r>
      <w:r w:rsidRPr="000E12D2">
        <w:rPr>
          <w:rFonts w:ascii="FrankRuehl" w:hAnsi="FrankRuehl" w:cs="FrankRuehl" w:hint="cs"/>
          <w:b/>
          <w:bCs/>
          <w:sz w:val="28"/>
          <w:szCs w:val="28"/>
          <w:u w:val="single"/>
          <w:rtl/>
        </w:rPr>
        <w:t>,000 ₪</w:t>
      </w:r>
      <w:r>
        <w:rPr>
          <w:rFonts w:ascii="FrankRuehl" w:hAnsi="FrankRuehl" w:cs="FrankRuehl" w:hint="cs"/>
          <w:b/>
          <w:bCs/>
          <w:sz w:val="28"/>
          <w:szCs w:val="28"/>
          <w:u w:val="single"/>
          <w:rtl/>
        </w:rPr>
        <w:t xml:space="preserve"> (במעוגל)</w:t>
      </w:r>
      <w:r w:rsidRPr="000E12D2">
        <w:rPr>
          <w:rFonts w:ascii="FrankRuehl" w:hAnsi="FrankRuehl" w:cs="FrankRuehl" w:hint="cs"/>
          <w:b/>
          <w:bCs/>
          <w:sz w:val="28"/>
          <w:szCs w:val="28"/>
          <w:u w:val="single"/>
          <w:rtl/>
        </w:rPr>
        <w:t xml:space="preserve"> נכון למועד פסק הדין. </w:t>
      </w:r>
    </w:p>
    <w:p w:rsidR="0047397E" w:rsidRPr="001762B9" w:rsidRDefault="0047397E" w:rsidP="0047397E">
      <w:pPr>
        <w:tabs>
          <w:tab w:val="left" w:pos="1076"/>
        </w:tabs>
        <w:spacing w:line="360" w:lineRule="auto"/>
        <w:jc w:val="both"/>
        <w:rPr>
          <w:rFonts w:ascii="FrankRuehl" w:hAnsi="FrankRuehl" w:cs="FrankRuehl"/>
          <w:b/>
          <w:bCs/>
          <w:sz w:val="28"/>
          <w:szCs w:val="28"/>
          <w:u w:val="single"/>
          <w:rtl/>
        </w:rPr>
      </w:pPr>
      <w:r>
        <w:rPr>
          <w:rFonts w:ascii="FrankRuehl" w:hAnsi="FrankRuehl" w:cs="FrankRuehl" w:hint="cs"/>
          <w:sz w:val="28"/>
          <w:szCs w:val="28"/>
          <w:rtl/>
        </w:rPr>
        <w:t xml:space="preserve"> </w:t>
      </w:r>
    </w:p>
    <w:p w:rsidR="0047397E" w:rsidRDefault="0047397E" w:rsidP="0047397E">
      <w:pPr>
        <w:spacing w:line="360" w:lineRule="auto"/>
        <w:contextualSpacing/>
        <w:rPr>
          <w:rFonts w:ascii="FrankRuehl" w:hAnsi="FrankRuehl" w:cs="FrankRuehl"/>
          <w:b/>
          <w:bCs/>
          <w:sz w:val="28"/>
          <w:szCs w:val="28"/>
          <w:u w:val="single"/>
          <w:rtl/>
        </w:rPr>
      </w:pPr>
      <w:r>
        <w:rPr>
          <w:rFonts w:ascii="FrankRuehl" w:hAnsi="FrankRuehl" w:cs="FrankRuehl" w:hint="cs"/>
          <w:b/>
          <w:bCs/>
          <w:sz w:val="28"/>
          <w:szCs w:val="28"/>
          <w:u w:val="single"/>
          <w:rtl/>
        </w:rPr>
        <w:t>הוצאות רפואיות</w:t>
      </w:r>
    </w:p>
    <w:p w:rsidR="0047397E" w:rsidRDefault="0047397E" w:rsidP="0047397E">
      <w:pPr>
        <w:spacing w:line="360" w:lineRule="auto"/>
        <w:contextualSpacing/>
        <w:jc w:val="both"/>
        <w:rPr>
          <w:rFonts w:ascii="FrankRuehl" w:hAnsi="FrankRuehl" w:cs="FrankRuehl"/>
          <w:b/>
          <w:bCs/>
          <w:sz w:val="28"/>
          <w:szCs w:val="28"/>
          <w:u w:val="single"/>
          <w:rtl/>
        </w:rPr>
      </w:pPr>
    </w:p>
    <w:p w:rsidR="0047397E" w:rsidRPr="001762B9" w:rsidRDefault="0047397E" w:rsidP="0047397E">
      <w:pPr>
        <w:spacing w:line="360" w:lineRule="auto"/>
        <w:contextualSpacing/>
        <w:jc w:val="both"/>
        <w:rPr>
          <w:rFonts w:ascii="Arial" w:hAnsi="Arial" w:cs="FrankRuehl"/>
          <w:sz w:val="28"/>
          <w:szCs w:val="28"/>
          <w:rtl/>
        </w:rPr>
      </w:pPr>
      <w:r w:rsidRPr="006A1E05">
        <w:rPr>
          <w:rFonts w:ascii="FrankRuehl" w:hAnsi="FrankRuehl" w:cs="FrankRuehl" w:hint="cs"/>
          <w:sz w:val="28"/>
          <w:szCs w:val="28"/>
          <w:rtl/>
        </w:rPr>
        <w:t>80.</w:t>
      </w:r>
      <w:r w:rsidRPr="006A1E05">
        <w:rPr>
          <w:rFonts w:ascii="FrankRuehl" w:hAnsi="FrankRuehl" w:cs="FrankRuehl" w:hint="cs"/>
          <w:sz w:val="28"/>
          <w:szCs w:val="28"/>
          <w:rtl/>
        </w:rPr>
        <w:tab/>
      </w:r>
      <w:r w:rsidRPr="001762B9">
        <w:rPr>
          <w:rFonts w:ascii="Arial" w:hAnsi="Arial" w:cs="FrankRuehl" w:hint="cs"/>
          <w:sz w:val="28"/>
          <w:szCs w:val="28"/>
          <w:rtl/>
        </w:rPr>
        <w:t xml:space="preserve">התובע </w:t>
      </w:r>
      <w:r>
        <w:rPr>
          <w:rFonts w:ascii="Arial" w:hAnsi="Arial" w:cs="FrankRuehl" w:hint="cs"/>
          <w:sz w:val="28"/>
          <w:szCs w:val="28"/>
          <w:rtl/>
        </w:rPr>
        <w:t xml:space="preserve">טוען שהוא אינו אזרח ישראלי ולכן טיפוליו נעשים על ידי רופאים פרטיים. בגין כך נתבע פיצוי בסך 200,000 ₪. המומחה מטעם התובע אכן ציין כי התובע זקוק למעקב פסיכולוגי ופסיכיאטרי אולם לא ציין באיזו תדירות ולמשך כמה זמן ומכל מקום לא נטען וממילא לא הוכח שלא ניתן לקבל את הטיפול במסגרת קופת חולים. התובע ציין  בעדותו שיש לו כרטיס קופת חולים שעבורו הוא נדרש לשלם 3 דולרים ביום (עמ' 25 שו' 4). לכן לכל היותר ניתן לחייב את הנתבעת להשתתף בחלק מההוצאה עבור כרטיס קופת החולים (שכן הכרטיס ישמש גם לטיפולים שאינם קשורים למעשי הרש"פ). אני פוסקת  לתובע בגין חלק מן ההוצאה עבור כרטיס קופת החולים סך של </w:t>
      </w:r>
      <w:r w:rsidRPr="00390A1E">
        <w:rPr>
          <w:rFonts w:ascii="Arial" w:hAnsi="Arial" w:cs="FrankRuehl" w:hint="cs"/>
          <w:b/>
          <w:bCs/>
          <w:sz w:val="28"/>
          <w:szCs w:val="28"/>
          <w:u w:val="single"/>
          <w:rtl/>
        </w:rPr>
        <w:t>20,000 ₪</w:t>
      </w:r>
      <w:r>
        <w:rPr>
          <w:rFonts w:ascii="Arial" w:hAnsi="Arial" w:cs="FrankRuehl" w:hint="cs"/>
          <w:sz w:val="28"/>
          <w:szCs w:val="28"/>
          <w:rtl/>
        </w:rPr>
        <w:t xml:space="preserve"> (נכון למועד פסק הדין). </w:t>
      </w:r>
    </w:p>
    <w:p w:rsidR="0047397E" w:rsidRPr="00257675" w:rsidRDefault="0047397E" w:rsidP="0047397E">
      <w:pPr>
        <w:pStyle w:val="af7"/>
        <w:spacing w:line="480" w:lineRule="auto"/>
        <w:ind w:left="0"/>
        <w:jc w:val="both"/>
        <w:rPr>
          <w:rFonts w:ascii="Arial" w:hAnsi="Arial" w:cs="FrankRuehl"/>
          <w:szCs w:val="20"/>
          <w:rtl/>
        </w:rPr>
      </w:pPr>
    </w:p>
    <w:p w:rsidR="0047397E" w:rsidRDefault="0047397E" w:rsidP="0047397E">
      <w:pPr>
        <w:tabs>
          <w:tab w:val="left" w:pos="1076"/>
        </w:tabs>
        <w:spacing w:line="360" w:lineRule="auto"/>
        <w:jc w:val="both"/>
        <w:rPr>
          <w:rFonts w:ascii="Arial" w:hAnsi="Arial" w:cs="FrankRuehl"/>
          <w:b/>
          <w:bCs/>
          <w:sz w:val="28"/>
          <w:szCs w:val="28"/>
          <w:u w:val="single"/>
          <w:rtl/>
        </w:rPr>
      </w:pPr>
      <w:r w:rsidRPr="00A529E1">
        <w:rPr>
          <w:rFonts w:ascii="Arial" w:hAnsi="Arial" w:cs="FrankRuehl" w:hint="cs"/>
          <w:b/>
          <w:bCs/>
          <w:sz w:val="28"/>
          <w:szCs w:val="28"/>
          <w:u w:val="single"/>
          <w:rtl/>
        </w:rPr>
        <w:t>הוצאות נסיעה</w:t>
      </w:r>
    </w:p>
    <w:p w:rsidR="0047397E" w:rsidRDefault="0047397E" w:rsidP="0047397E">
      <w:pPr>
        <w:tabs>
          <w:tab w:val="left" w:pos="1076"/>
        </w:tabs>
        <w:spacing w:line="360" w:lineRule="auto"/>
        <w:jc w:val="both"/>
        <w:rPr>
          <w:rFonts w:ascii="Arial" w:hAnsi="Arial" w:cs="FrankRuehl"/>
          <w:b/>
          <w:bCs/>
          <w:sz w:val="28"/>
          <w:szCs w:val="28"/>
          <w:u w:val="single"/>
          <w:rtl/>
        </w:rPr>
      </w:pPr>
    </w:p>
    <w:p w:rsidR="0047397E" w:rsidRDefault="0047397E" w:rsidP="0047397E">
      <w:pPr>
        <w:tabs>
          <w:tab w:val="left" w:pos="1076"/>
        </w:tabs>
        <w:spacing w:line="360" w:lineRule="auto"/>
        <w:jc w:val="both"/>
        <w:rPr>
          <w:rFonts w:ascii="FrankRuehl" w:hAnsi="FrankRuehl" w:cs="FrankRuehl"/>
          <w:sz w:val="28"/>
          <w:szCs w:val="28"/>
          <w:rtl/>
        </w:rPr>
      </w:pPr>
      <w:r w:rsidRPr="006A1E05">
        <w:rPr>
          <w:rFonts w:ascii="Arial" w:hAnsi="Arial" w:cs="FrankRuehl" w:hint="cs"/>
          <w:sz w:val="28"/>
          <w:szCs w:val="28"/>
          <w:rtl/>
        </w:rPr>
        <w:t>81.</w:t>
      </w:r>
      <w:r w:rsidRPr="006A1E05">
        <w:rPr>
          <w:rFonts w:ascii="Arial" w:hAnsi="Arial" w:cs="FrankRuehl" w:hint="cs"/>
          <w:sz w:val="28"/>
          <w:szCs w:val="28"/>
          <w:rtl/>
        </w:rPr>
        <w:tab/>
      </w:r>
      <w:r>
        <w:rPr>
          <w:rFonts w:ascii="FrankRuehl" w:hAnsi="FrankRuehl" w:cs="FrankRuehl" w:hint="cs"/>
          <w:sz w:val="28"/>
          <w:szCs w:val="28"/>
          <w:rtl/>
        </w:rPr>
        <w:t>הנכות שנגרמה לתובע כתוצאה ממעשי הרש"פ איננה מגבילה את ניידותו ולכן אני דוחה את תביעתו לפיצוי בגין הוצאות נסיעה.</w:t>
      </w:r>
    </w:p>
    <w:p w:rsidR="0047397E" w:rsidRDefault="0047397E" w:rsidP="0047397E">
      <w:pPr>
        <w:tabs>
          <w:tab w:val="left" w:pos="1076"/>
        </w:tabs>
        <w:spacing w:line="360" w:lineRule="auto"/>
        <w:jc w:val="both"/>
        <w:rPr>
          <w:rFonts w:ascii="FrankRuehl" w:hAnsi="FrankRuehl" w:cs="FrankRuehl"/>
          <w:sz w:val="28"/>
          <w:szCs w:val="28"/>
          <w:rtl/>
        </w:rPr>
      </w:pPr>
    </w:p>
    <w:p w:rsidR="0047397E" w:rsidRPr="00A529E1" w:rsidRDefault="0047397E" w:rsidP="0047397E">
      <w:pPr>
        <w:tabs>
          <w:tab w:val="left" w:pos="1076"/>
        </w:tabs>
        <w:spacing w:line="360" w:lineRule="auto"/>
        <w:jc w:val="both"/>
        <w:rPr>
          <w:rFonts w:ascii="FrankRuehl" w:hAnsi="FrankRuehl" w:cs="FrankRuehl"/>
          <w:b/>
          <w:bCs/>
          <w:sz w:val="28"/>
          <w:szCs w:val="28"/>
          <w:u w:val="single"/>
          <w:rtl/>
        </w:rPr>
      </w:pPr>
      <w:r w:rsidRPr="00A529E1">
        <w:rPr>
          <w:rFonts w:ascii="FrankRuehl" w:hAnsi="FrankRuehl" w:cs="FrankRuehl" w:hint="cs"/>
          <w:b/>
          <w:bCs/>
          <w:sz w:val="28"/>
          <w:szCs w:val="28"/>
          <w:u w:val="single"/>
          <w:rtl/>
        </w:rPr>
        <w:t xml:space="preserve">הוצאות שכירות </w:t>
      </w:r>
    </w:p>
    <w:p w:rsidR="0047397E" w:rsidRDefault="0047397E" w:rsidP="0047397E">
      <w:pPr>
        <w:tabs>
          <w:tab w:val="left" w:pos="1076"/>
        </w:tabs>
        <w:spacing w:line="360" w:lineRule="auto"/>
        <w:jc w:val="both"/>
        <w:rPr>
          <w:rFonts w:ascii="FrankRuehl" w:hAnsi="FrankRuehl" w:cs="FrankRuehl"/>
          <w:sz w:val="28"/>
          <w:szCs w:val="28"/>
          <w:rtl/>
        </w:rPr>
      </w:pPr>
    </w:p>
    <w:p w:rsidR="0047397E" w:rsidRPr="008A51C1" w:rsidRDefault="0047397E" w:rsidP="0047397E">
      <w:pPr>
        <w:spacing w:line="360" w:lineRule="auto"/>
        <w:jc w:val="both"/>
        <w:rPr>
          <w:rFonts w:ascii="FrankRuehl" w:hAnsi="FrankRuehl" w:cs="FrankRuehl"/>
          <w:color w:val="FF0000"/>
          <w:sz w:val="28"/>
          <w:szCs w:val="28"/>
          <w:rtl/>
        </w:rPr>
      </w:pPr>
      <w:r>
        <w:rPr>
          <w:rFonts w:ascii="FrankRuehl" w:hAnsi="FrankRuehl" w:cs="FrankRuehl" w:hint="cs"/>
          <w:sz w:val="28"/>
          <w:szCs w:val="28"/>
          <w:rtl/>
        </w:rPr>
        <w:t>82.</w:t>
      </w:r>
      <w:r>
        <w:rPr>
          <w:rFonts w:ascii="FrankRuehl" w:hAnsi="FrankRuehl" w:cs="FrankRuehl" w:hint="cs"/>
          <w:sz w:val="28"/>
          <w:szCs w:val="28"/>
          <w:rtl/>
        </w:rPr>
        <w:tab/>
        <w:t xml:space="preserve">התובע טוען כי לאחר שחרורו, הרש"פ לא הניחה לנפשו עד שנאלץ לעזוב את מקום מגוריו ולעבור לישראל על מנת להימלט מציפורניה האכזריות של הרש"פ. עוד טוען התובע שהוא נאלץ לנטוש את דירת המגורים שלו ושל בני משפחתו שמצויה בשטחי הרש"פ ולכן עליו לשלם דמי שכירות בישראל שאותם הוא תובע כפיצוי מאת הרש"פ.  דין התביעה בעניין זה </w:t>
      </w:r>
      <w:r>
        <w:rPr>
          <w:rFonts w:ascii="FrankRuehl" w:hAnsi="FrankRuehl" w:cs="FrankRuehl" w:hint="cs"/>
          <w:sz w:val="28"/>
          <w:szCs w:val="28"/>
          <w:rtl/>
        </w:rPr>
        <w:lastRenderedPageBreak/>
        <w:t>להידחות. התובע היה בעת מעצרו בן 25 שנים בלבד, והוא מודה בסיכומיו שדירת המגורים שבה התגורר בשטחי הרש"פ היתה "</w:t>
      </w:r>
      <w:r w:rsidRPr="00E91C51">
        <w:rPr>
          <w:rFonts w:ascii="Miriam" w:hAnsi="Miriam" w:cs="Miriam"/>
          <w:rtl/>
        </w:rPr>
        <w:t>שלו ושל משפחתו</w:t>
      </w:r>
      <w:r>
        <w:rPr>
          <w:rFonts w:ascii="FrankRuehl" w:hAnsi="FrankRuehl" w:cs="FrankRuehl" w:hint="cs"/>
          <w:sz w:val="28"/>
          <w:szCs w:val="28"/>
          <w:rtl/>
        </w:rPr>
        <w:t xml:space="preserve">" (פסקה 229 לסיכומי התובע). בנסיבות אלו אין להוציא מכלל אפשרות כי ביום מן הימים התובע היה עובר לגור בדירה משלו ולשלם שכר דירה. העובדה שהמעבר נעשה לדירה בישראל ולא ברש"פ אינה מצדיקה להשית את דמי השכירות על הרש"פ. </w:t>
      </w:r>
    </w:p>
    <w:p w:rsidR="0047397E" w:rsidRDefault="0047397E" w:rsidP="0047397E">
      <w:pPr>
        <w:tabs>
          <w:tab w:val="left" w:pos="1076"/>
        </w:tabs>
        <w:spacing w:line="360" w:lineRule="auto"/>
        <w:jc w:val="both"/>
        <w:rPr>
          <w:rFonts w:ascii="FrankRuehl" w:hAnsi="FrankRuehl" w:cs="FrankRuehl"/>
          <w:b/>
          <w:bCs/>
          <w:sz w:val="28"/>
          <w:szCs w:val="28"/>
          <w:u w:val="single"/>
          <w:rtl/>
        </w:rPr>
      </w:pPr>
    </w:p>
    <w:p w:rsidR="0047397E" w:rsidRDefault="0047397E" w:rsidP="0047397E">
      <w:pPr>
        <w:tabs>
          <w:tab w:val="left" w:pos="1076"/>
        </w:tabs>
        <w:spacing w:line="360" w:lineRule="auto"/>
        <w:jc w:val="both"/>
        <w:rPr>
          <w:rFonts w:ascii="FrankRuehl" w:hAnsi="FrankRuehl" w:cs="FrankRuehl"/>
          <w:b/>
          <w:bCs/>
          <w:sz w:val="28"/>
          <w:szCs w:val="28"/>
          <w:u w:val="single"/>
          <w:rtl/>
        </w:rPr>
      </w:pPr>
      <w:r>
        <w:rPr>
          <w:rFonts w:ascii="FrankRuehl" w:hAnsi="FrankRuehl" w:cs="FrankRuehl" w:hint="cs"/>
          <w:b/>
          <w:bCs/>
          <w:sz w:val="28"/>
          <w:szCs w:val="28"/>
          <w:u w:val="single"/>
          <w:rtl/>
        </w:rPr>
        <w:t>נזק לא ממוני</w:t>
      </w:r>
    </w:p>
    <w:p w:rsidR="0047397E" w:rsidRDefault="0047397E" w:rsidP="0047397E">
      <w:pPr>
        <w:tabs>
          <w:tab w:val="left" w:pos="1076"/>
        </w:tabs>
        <w:spacing w:line="360" w:lineRule="auto"/>
        <w:jc w:val="both"/>
        <w:rPr>
          <w:rFonts w:ascii="FrankRuehl" w:hAnsi="FrankRuehl" w:cs="FrankRuehl"/>
          <w:b/>
          <w:bCs/>
          <w:sz w:val="28"/>
          <w:szCs w:val="28"/>
          <w:u w:val="single"/>
          <w:rtl/>
        </w:rPr>
      </w:pPr>
    </w:p>
    <w:p w:rsidR="0047397E" w:rsidRPr="00954C89" w:rsidRDefault="0047397E" w:rsidP="0047397E">
      <w:pPr>
        <w:tabs>
          <w:tab w:val="left" w:pos="1076"/>
        </w:tabs>
        <w:spacing w:line="360" w:lineRule="auto"/>
        <w:jc w:val="both"/>
        <w:rPr>
          <w:rFonts w:ascii="FrankRuehl" w:hAnsi="FrankRuehl" w:cs="FrankRuehl"/>
          <w:sz w:val="28"/>
          <w:szCs w:val="28"/>
          <w:rtl/>
        </w:rPr>
      </w:pPr>
      <w:r>
        <w:rPr>
          <w:rFonts w:ascii="FrankRuehl" w:hAnsi="FrankRuehl" w:cs="FrankRuehl" w:hint="cs"/>
          <w:sz w:val="28"/>
          <w:szCs w:val="28"/>
          <w:rtl/>
        </w:rPr>
        <w:t>83.</w:t>
      </w:r>
      <w:r>
        <w:rPr>
          <w:rFonts w:ascii="FrankRuehl" w:hAnsi="FrankRuehl" w:cs="FrankRuehl" w:hint="cs"/>
          <w:sz w:val="28"/>
          <w:szCs w:val="28"/>
          <w:rtl/>
        </w:rPr>
        <w:tab/>
      </w:r>
      <w:r w:rsidRPr="001762B9">
        <w:rPr>
          <w:rFonts w:ascii="FrankRuehl" w:hAnsi="FrankRuehl" w:cs="FrankRuehl" w:hint="cs"/>
          <w:sz w:val="28"/>
          <w:szCs w:val="28"/>
          <w:rtl/>
        </w:rPr>
        <w:t>בשים לב למהות הפגיעה וגובה הנכות הרפואית</w:t>
      </w:r>
      <w:r>
        <w:rPr>
          <w:rFonts w:ascii="FrankRuehl" w:hAnsi="FrankRuehl" w:cs="FrankRuehl" w:hint="cs"/>
          <w:sz w:val="28"/>
          <w:szCs w:val="28"/>
          <w:rtl/>
        </w:rPr>
        <w:t>;</w:t>
      </w:r>
      <w:r w:rsidRPr="001762B9">
        <w:rPr>
          <w:rFonts w:ascii="FrankRuehl" w:hAnsi="FrankRuehl" w:cs="FrankRuehl" w:hint="cs"/>
          <w:sz w:val="28"/>
          <w:szCs w:val="28"/>
          <w:rtl/>
        </w:rPr>
        <w:t xml:space="preserve"> ל</w:t>
      </w:r>
      <w:r>
        <w:rPr>
          <w:rFonts w:ascii="FrankRuehl" w:hAnsi="FrankRuehl" w:cs="FrankRuehl" w:hint="cs"/>
          <w:sz w:val="28"/>
          <w:szCs w:val="28"/>
          <w:rtl/>
        </w:rPr>
        <w:t xml:space="preserve">עינויים הקשים שחווה התובע בתקופת הכליאה כמו גם לפחד המתמיד שהתובע היה שרוי בו במשך 7 שנים; לכאב והסבל הכרוכים באבדן החרות; לפיצוי הכולל שפסקתי לתובע בגין אבדן החרות; לעובדה שהפיצוי המלא שפסקתי עבור אבדן ההשתכרות בעת הכליאה, כולל למעשה גם פיצוי בגין נזק לא ממוני (אחרת היה מקום לקזז את עלויות המחיה "שנחסכו"), ומתוך הבנה שבסופו של יום, הנזק הלא ממוני בגין אבדן החירות והעינויים, שלובים זה בזה, </w:t>
      </w:r>
      <w:r w:rsidRPr="001762B9">
        <w:rPr>
          <w:rFonts w:ascii="FrankRuehl" w:hAnsi="FrankRuehl" w:cs="FrankRuehl" w:hint="cs"/>
          <w:sz w:val="28"/>
          <w:szCs w:val="28"/>
          <w:rtl/>
        </w:rPr>
        <w:t xml:space="preserve">אני מעריכה את הפיצוי המגיע לתובע בגין </w:t>
      </w:r>
      <w:r>
        <w:rPr>
          <w:rFonts w:ascii="FrankRuehl" w:hAnsi="FrankRuehl" w:cs="FrankRuehl" w:hint="cs"/>
          <w:sz w:val="28"/>
          <w:szCs w:val="28"/>
          <w:rtl/>
        </w:rPr>
        <w:t xml:space="preserve">הנזק הלא ממוני עקב כליאת השווא והעינויים (בנוסף לפיצוי שפסקתי לעיל בגין אבדן החירות),  </w:t>
      </w:r>
      <w:r w:rsidRPr="001762B9">
        <w:rPr>
          <w:rFonts w:ascii="FrankRuehl" w:hAnsi="FrankRuehl" w:cs="FrankRuehl" w:hint="cs"/>
          <w:sz w:val="28"/>
          <w:szCs w:val="28"/>
          <w:rtl/>
        </w:rPr>
        <w:t>בס</w:t>
      </w:r>
      <w:r>
        <w:rPr>
          <w:rFonts w:ascii="FrankRuehl" w:hAnsi="FrankRuehl" w:cs="FrankRuehl" w:hint="cs"/>
          <w:sz w:val="28"/>
          <w:szCs w:val="28"/>
          <w:rtl/>
        </w:rPr>
        <w:t>ך</w:t>
      </w:r>
      <w:r w:rsidRPr="000E2A02">
        <w:rPr>
          <w:rFonts w:ascii="FrankRuehl" w:hAnsi="FrankRuehl" w:cs="FrankRuehl" w:hint="cs"/>
          <w:b/>
          <w:bCs/>
          <w:sz w:val="28"/>
          <w:szCs w:val="28"/>
          <w:rtl/>
        </w:rPr>
        <w:t xml:space="preserve">  </w:t>
      </w:r>
      <w:r>
        <w:rPr>
          <w:rFonts w:ascii="FrankRuehl" w:hAnsi="FrankRuehl" w:cs="FrankRuehl" w:hint="cs"/>
          <w:b/>
          <w:bCs/>
          <w:sz w:val="28"/>
          <w:szCs w:val="28"/>
          <w:u w:val="single"/>
          <w:rtl/>
        </w:rPr>
        <w:t xml:space="preserve">400,000  </w:t>
      </w:r>
      <w:r w:rsidRPr="001762B9">
        <w:rPr>
          <w:rFonts w:ascii="FrankRuehl" w:hAnsi="FrankRuehl" w:cs="FrankRuehl" w:hint="cs"/>
          <w:b/>
          <w:bCs/>
          <w:sz w:val="28"/>
          <w:szCs w:val="28"/>
          <w:u w:val="single"/>
          <w:rtl/>
        </w:rPr>
        <w:t>₪ נכון ליום פסק הדין.</w:t>
      </w:r>
      <w:r>
        <w:rPr>
          <w:rFonts w:ascii="FrankRuehl" w:hAnsi="FrankRuehl" w:cs="FrankRuehl" w:hint="cs"/>
          <w:sz w:val="28"/>
          <w:szCs w:val="28"/>
          <w:rtl/>
        </w:rPr>
        <w:t xml:space="preserve"> בקביעת סכום זה לקחתי בחשבון שאלמלא היה מדובר בעוולות נמשכות, הרי ששיעור הנכות הצמיתה שנקבעה לתובע והצמדת הסכום מיום האירוע, היו מזכים את התובע בפיצוי בגין הנזק הלא ממוני בסך של כ - 100,000 ₪. סכום זה הוכפל פי 4  נוכח הימשכות העוולות 7 שנים. יוער, למען שלימות התמונה, כי לתובע נוסף שעניינו נדון בת"א 28601-06-17 </w:t>
      </w:r>
      <w:r w:rsidRPr="00954C89">
        <w:rPr>
          <w:rFonts w:ascii="Miriam" w:hAnsi="Miriam" w:cs="Miriam"/>
          <w:rtl/>
        </w:rPr>
        <w:t>פלוני נ' הרשות הפלסטינית</w:t>
      </w:r>
      <w:r>
        <w:rPr>
          <w:rFonts w:ascii="FrankRuehl" w:hAnsi="FrankRuehl" w:cs="FrankRuehl" w:hint="cs"/>
          <w:sz w:val="28"/>
          <w:szCs w:val="28"/>
          <w:rtl/>
        </w:rPr>
        <w:t xml:space="preserve"> (12.2.2023) </w:t>
      </w:r>
      <w:r w:rsidRPr="00954C89">
        <w:rPr>
          <w:rFonts w:ascii="FrankRuehl" w:hAnsi="FrankRuehl" w:cs="FrankRuehl"/>
          <w:sz w:val="28"/>
          <w:szCs w:val="28"/>
          <w:rtl/>
        </w:rPr>
        <w:t xml:space="preserve">(להלן: </w:t>
      </w:r>
      <w:r>
        <w:rPr>
          <w:rFonts w:ascii="Miriam" w:hAnsi="Miriam" w:cs="Miriam" w:hint="cs"/>
          <w:rtl/>
        </w:rPr>
        <w:t xml:space="preserve">עניין </w:t>
      </w:r>
      <w:r w:rsidRPr="00954C89">
        <w:rPr>
          <w:rFonts w:ascii="Miriam" w:hAnsi="Miriam" w:cs="Miriam"/>
          <w:rtl/>
        </w:rPr>
        <w:t xml:space="preserve">פלוני </w:t>
      </w:r>
      <w:r>
        <w:rPr>
          <w:rFonts w:ascii="FrankRuehl" w:hAnsi="FrankRuehl" w:cs="FrankRuehl" w:hint="cs"/>
          <w:sz w:val="28"/>
          <w:szCs w:val="28"/>
          <w:rtl/>
        </w:rPr>
        <w:t>2</w:t>
      </w:r>
      <w:r w:rsidRPr="00954C89">
        <w:rPr>
          <w:rFonts w:ascii="FrankRuehl" w:hAnsi="FrankRuehl" w:cs="FrankRuehl"/>
          <w:sz w:val="28"/>
          <w:szCs w:val="28"/>
          <w:rtl/>
        </w:rPr>
        <w:t>))</w:t>
      </w:r>
      <w:r>
        <w:rPr>
          <w:rFonts w:ascii="FrankRuehl" w:hAnsi="FrankRuehl" w:cs="FrankRuehl" w:hint="cs"/>
          <w:sz w:val="28"/>
          <w:szCs w:val="28"/>
          <w:rtl/>
        </w:rPr>
        <w:t xml:space="preserve">, </w:t>
      </w:r>
      <w:r w:rsidRPr="00954C89">
        <w:rPr>
          <w:rFonts w:ascii="FrankRuehl" w:hAnsi="FrankRuehl" w:cs="FrankRuehl"/>
          <w:sz w:val="28"/>
          <w:szCs w:val="28"/>
          <w:rtl/>
        </w:rPr>
        <w:t>שנכלא למשך 13 חודשים</w:t>
      </w:r>
      <w:r>
        <w:rPr>
          <w:rFonts w:ascii="FrankRuehl" w:hAnsi="FrankRuehl" w:cs="FrankRuehl" w:hint="cs"/>
          <w:sz w:val="28"/>
          <w:szCs w:val="28"/>
          <w:rtl/>
        </w:rPr>
        <w:t>,</w:t>
      </w:r>
      <w:r w:rsidRPr="00954C89">
        <w:rPr>
          <w:rFonts w:ascii="FrankRuehl" w:hAnsi="FrankRuehl" w:cs="FrankRuehl"/>
          <w:sz w:val="28"/>
          <w:szCs w:val="28"/>
          <w:rtl/>
        </w:rPr>
        <w:t xml:space="preserve"> </w:t>
      </w:r>
      <w:r>
        <w:rPr>
          <w:rFonts w:ascii="FrankRuehl" w:hAnsi="FrankRuehl" w:cs="FrankRuehl" w:hint="cs"/>
          <w:sz w:val="28"/>
          <w:szCs w:val="28"/>
          <w:rtl/>
        </w:rPr>
        <w:t xml:space="preserve">ואשר פסק הדין בעניינו נחתם במקביל לחתימה על פסק דין זה, הסכום הוכפל  פי 2 בלבד. </w:t>
      </w:r>
      <w:r w:rsidRPr="00954C89">
        <w:rPr>
          <w:rFonts w:ascii="FrankRuehl" w:hAnsi="FrankRuehl" w:cs="FrankRuehl"/>
          <w:sz w:val="28"/>
          <w:szCs w:val="28"/>
          <w:rtl/>
        </w:rPr>
        <w:t xml:space="preserve"> </w:t>
      </w:r>
    </w:p>
    <w:p w:rsidR="0047397E" w:rsidRPr="000E1197" w:rsidRDefault="0047397E" w:rsidP="0047397E">
      <w:pPr>
        <w:tabs>
          <w:tab w:val="left" w:pos="1076"/>
        </w:tabs>
        <w:spacing w:line="360" w:lineRule="auto"/>
        <w:jc w:val="both"/>
        <w:rPr>
          <w:rFonts w:ascii="FrankRuehl" w:hAnsi="FrankRuehl" w:cs="FrankRuehl"/>
          <w:b/>
          <w:bCs/>
          <w:szCs w:val="20"/>
          <w:rtl/>
        </w:rPr>
      </w:pPr>
    </w:p>
    <w:p w:rsidR="0047397E" w:rsidRDefault="00243238" w:rsidP="00243238">
      <w:pPr>
        <w:pStyle w:val="Ruller4"/>
        <w:numPr>
          <w:ilvl w:val="0"/>
          <w:numId w:val="0"/>
        </w:numPr>
        <w:rPr>
          <w:b/>
          <w:bCs/>
          <w:u w:val="single"/>
          <w:rtl/>
        </w:rPr>
      </w:pPr>
      <w:r>
        <w:rPr>
          <w:rFonts w:hint="cs"/>
          <w:b/>
          <w:bCs/>
          <w:u w:val="single"/>
          <w:rtl/>
        </w:rPr>
        <w:t>פיצויים עונשיים</w:t>
      </w:r>
    </w:p>
    <w:p w:rsidR="00243238" w:rsidRPr="00243238" w:rsidRDefault="00243238" w:rsidP="00243238">
      <w:pPr>
        <w:pStyle w:val="Ruller41"/>
        <w:rPr>
          <w:rtl/>
        </w:rPr>
      </w:pPr>
    </w:p>
    <w:p w:rsidR="0047397E" w:rsidRDefault="0047397E" w:rsidP="0047397E">
      <w:pPr>
        <w:pStyle w:val="Ruller41"/>
        <w:rPr>
          <w:rtl/>
        </w:rPr>
      </w:pPr>
      <w:r>
        <w:rPr>
          <w:rFonts w:hint="cs"/>
          <w:rtl/>
        </w:rPr>
        <w:t>84.</w:t>
      </w:r>
      <w:r>
        <w:rPr>
          <w:rFonts w:hint="cs"/>
          <w:rtl/>
        </w:rPr>
        <w:tab/>
      </w:r>
      <w:r w:rsidRPr="00657E2F">
        <w:rPr>
          <w:rFonts w:hint="cs"/>
          <w:sz w:val="28"/>
          <w:rtl/>
        </w:rPr>
        <w:t>נוכח אופיו המיוחד של הפיצוי העונשי שמטרתו גמול והרתעה</w:t>
      </w:r>
      <w:r>
        <w:rPr>
          <w:rFonts w:hint="cs"/>
          <w:sz w:val="28"/>
          <w:rtl/>
        </w:rPr>
        <w:t xml:space="preserve"> -</w:t>
      </w:r>
      <w:r w:rsidRPr="00657E2F">
        <w:rPr>
          <w:rFonts w:hint="cs"/>
          <w:sz w:val="28"/>
          <w:rtl/>
        </w:rPr>
        <w:t xml:space="preserve"> להבדיל מן הפיצוי התרופתי</w:t>
      </w:r>
      <w:r>
        <w:rPr>
          <w:rFonts w:hint="cs"/>
          <w:sz w:val="28"/>
          <w:rtl/>
        </w:rPr>
        <w:t>,</w:t>
      </w:r>
      <w:r w:rsidRPr="00657E2F">
        <w:rPr>
          <w:rFonts w:hint="cs"/>
          <w:sz w:val="28"/>
          <w:rtl/>
        </w:rPr>
        <w:t xml:space="preserve"> שמטרתו העיקרית היא השבת המצב לקדמותו</w:t>
      </w:r>
      <w:r>
        <w:rPr>
          <w:rFonts w:hint="cs"/>
          <w:sz w:val="28"/>
          <w:rtl/>
        </w:rPr>
        <w:t xml:space="preserve"> - הפיצוי העונשי </w:t>
      </w:r>
      <w:r w:rsidRPr="00657E2F">
        <w:rPr>
          <w:sz w:val="28"/>
          <w:rtl/>
        </w:rPr>
        <w:t xml:space="preserve">עורר בעבר מחלוקת ולא התקבל כמובן מאליו </w:t>
      </w:r>
      <w:r>
        <w:rPr>
          <w:rtl/>
        </w:rPr>
        <w:t>(</w:t>
      </w:r>
      <w:r w:rsidRPr="00657E2F">
        <w:rPr>
          <w:rFonts w:cs="Miriam"/>
          <w:color w:val="000000" w:themeColor="text1"/>
          <w:szCs w:val="24"/>
          <w:rtl/>
        </w:rPr>
        <w:t>ע</w:t>
      </w:r>
      <w:r w:rsidRPr="00657E2F">
        <w:rPr>
          <w:rFonts w:cs="Miriam"/>
          <w:szCs w:val="24"/>
          <w:rtl/>
        </w:rPr>
        <w:t xml:space="preserve">זבון המנוח עמית עמוס מנטין ז"ל נ' הרשות הפלסטינית, </w:t>
      </w:r>
      <w:r w:rsidRPr="00657E2F">
        <w:rPr>
          <w:sz w:val="28"/>
          <w:rtl/>
        </w:rPr>
        <w:t>פסקאות 121-120</w:t>
      </w:r>
      <w:r w:rsidRPr="00657E2F">
        <w:rPr>
          <w:rFonts w:hint="cs"/>
          <w:sz w:val="28"/>
          <w:rtl/>
        </w:rPr>
        <w:t xml:space="preserve"> לפסק דינו של כב' השופט</w:t>
      </w:r>
      <w:r>
        <w:rPr>
          <w:rFonts w:hint="cs"/>
          <w:sz w:val="28"/>
          <w:rtl/>
        </w:rPr>
        <w:t xml:space="preserve"> </w:t>
      </w:r>
      <w:r w:rsidRPr="00813D8B">
        <w:rPr>
          <w:rFonts w:ascii="Miriam" w:hAnsi="Miriam" w:cs="Miriam"/>
          <w:sz w:val="24"/>
          <w:szCs w:val="24"/>
          <w:rtl/>
        </w:rPr>
        <w:t>נ' סולברג</w:t>
      </w:r>
      <w:r w:rsidRPr="00657E2F">
        <w:rPr>
          <w:sz w:val="28"/>
          <w:rtl/>
        </w:rPr>
        <w:t xml:space="preserve"> (6.12.2017) </w:t>
      </w:r>
      <w:r w:rsidRPr="00657E2F">
        <w:rPr>
          <w:sz w:val="28"/>
          <w:rtl/>
        </w:rPr>
        <w:lastRenderedPageBreak/>
        <w:t xml:space="preserve">(להלן: עניין </w:t>
      </w:r>
      <w:r w:rsidRPr="00657E2F">
        <w:rPr>
          <w:rFonts w:cs="Miriam"/>
          <w:szCs w:val="24"/>
          <w:rtl/>
        </w:rPr>
        <w:t>מנטין</w:t>
      </w:r>
      <w:r w:rsidRPr="00657E2F">
        <w:rPr>
          <w:sz w:val="28"/>
          <w:rtl/>
        </w:rPr>
        <w:t>)</w:t>
      </w:r>
      <w:r w:rsidRPr="00657E2F">
        <w:rPr>
          <w:rFonts w:hint="cs"/>
          <w:sz w:val="28"/>
          <w:rtl/>
        </w:rPr>
        <w:t>;</w:t>
      </w:r>
      <w:r w:rsidRPr="00657E2F">
        <w:rPr>
          <w:rFonts w:hint="cs"/>
          <w:rtl/>
        </w:rPr>
        <w:t xml:space="preserve"> </w:t>
      </w:r>
      <w:r>
        <w:rPr>
          <w:rFonts w:hint="cs"/>
          <w:rtl/>
        </w:rPr>
        <w:t xml:space="preserve">ע"א 2362/19 </w:t>
      </w:r>
      <w:r w:rsidRPr="00657E2F">
        <w:rPr>
          <w:rFonts w:ascii="Miriam" w:hAnsi="Miriam" w:cs="Miriam"/>
          <w:szCs w:val="24"/>
          <w:rtl/>
        </w:rPr>
        <w:t>פלונים נ' הרשות הפלסטינית,</w:t>
      </w:r>
      <w:r>
        <w:rPr>
          <w:rFonts w:hint="cs"/>
          <w:rtl/>
        </w:rPr>
        <w:t xml:space="preserve"> פסקה 14 לפסק דינו של כב' השופט </w:t>
      </w:r>
      <w:r w:rsidRPr="00BE6766">
        <w:rPr>
          <w:rFonts w:ascii="Miriam" w:hAnsi="Miriam" w:cs="Miriam"/>
          <w:szCs w:val="24"/>
          <w:rtl/>
        </w:rPr>
        <w:t>ד' מינץ</w:t>
      </w:r>
      <w:r>
        <w:rPr>
          <w:rFonts w:hint="cs"/>
          <w:rtl/>
        </w:rPr>
        <w:t xml:space="preserve"> (10.4.2022)(להלן: </w:t>
      </w:r>
      <w:r w:rsidRPr="00657E2F">
        <w:rPr>
          <w:rFonts w:ascii="Miriam" w:hAnsi="Miriam" w:cs="Miriam"/>
          <w:szCs w:val="24"/>
          <w:rtl/>
        </w:rPr>
        <w:t>עניין פלונים בנושא מימון מחבלים</w:t>
      </w:r>
      <w:r>
        <w:rPr>
          <w:rFonts w:hint="cs"/>
          <w:rtl/>
        </w:rPr>
        <w:t>)</w:t>
      </w:r>
      <w:r w:rsidRPr="00657E2F">
        <w:rPr>
          <w:sz w:val="28"/>
          <w:rtl/>
        </w:rPr>
        <w:t>)</w:t>
      </w:r>
      <w:r w:rsidRPr="00657E2F">
        <w:rPr>
          <w:rFonts w:hint="cs"/>
          <w:sz w:val="28"/>
          <w:rtl/>
        </w:rPr>
        <w:t xml:space="preserve">. </w:t>
      </w:r>
    </w:p>
    <w:p w:rsidR="0047397E" w:rsidRDefault="0047397E" w:rsidP="0047397E">
      <w:pPr>
        <w:pStyle w:val="Ruller41"/>
        <w:rPr>
          <w:rtl/>
        </w:rPr>
      </w:pPr>
    </w:p>
    <w:p w:rsidR="0047397E" w:rsidRDefault="0047397E" w:rsidP="0047397E">
      <w:pPr>
        <w:pStyle w:val="Ruller41"/>
        <w:rPr>
          <w:sz w:val="28"/>
          <w:rtl/>
        </w:rPr>
      </w:pPr>
      <w:r>
        <w:rPr>
          <w:rFonts w:hint="cs"/>
          <w:rtl/>
        </w:rPr>
        <w:t>85.</w:t>
      </w:r>
      <w:r>
        <w:rPr>
          <w:rFonts w:hint="cs"/>
          <w:rtl/>
        </w:rPr>
        <w:tab/>
      </w:r>
      <w:r w:rsidRPr="00657E2F">
        <w:rPr>
          <w:sz w:val="28"/>
          <w:rtl/>
        </w:rPr>
        <w:t xml:space="preserve">כיום אין עוד מחלוקת בדבר סמכותם של בתי המשפט בישראל לפסוק פיצויים עונשיים. עם זאת נוכח חריגותם </w:t>
      </w:r>
      <w:r>
        <w:rPr>
          <w:rFonts w:hint="cs"/>
          <w:sz w:val="28"/>
          <w:rtl/>
        </w:rPr>
        <w:t>והיותם נטע זר ב</w:t>
      </w:r>
      <w:r w:rsidRPr="00657E2F">
        <w:rPr>
          <w:sz w:val="28"/>
          <w:rtl/>
        </w:rPr>
        <w:t>דיני הנזיקין</w:t>
      </w:r>
      <w:r w:rsidRPr="00657E2F">
        <w:rPr>
          <w:rFonts w:hint="cs"/>
          <w:sz w:val="28"/>
          <w:rtl/>
        </w:rPr>
        <w:t>,</w:t>
      </w:r>
      <w:r w:rsidRPr="00657E2F">
        <w:rPr>
          <w:sz w:val="28"/>
          <w:rtl/>
        </w:rPr>
        <w:t xml:space="preserve"> הפיצויים העונשיים מוטלים רק במקרים יוצאי דופן</w:t>
      </w:r>
      <w:r>
        <w:rPr>
          <w:rFonts w:hint="cs"/>
          <w:sz w:val="28"/>
          <w:rtl/>
        </w:rPr>
        <w:t xml:space="preserve">, חריגים במיוחד, ומזעזעים </w:t>
      </w:r>
      <w:r w:rsidRPr="00657E2F">
        <w:rPr>
          <w:sz w:val="28"/>
          <w:rtl/>
        </w:rPr>
        <w:t>ומקוממים במיוחד</w:t>
      </w:r>
      <w:r>
        <w:rPr>
          <w:rFonts w:hint="cs"/>
          <w:sz w:val="28"/>
          <w:rtl/>
        </w:rPr>
        <w:t xml:space="preserve"> (עניין </w:t>
      </w:r>
      <w:r w:rsidRPr="00676DD5">
        <w:rPr>
          <w:rFonts w:ascii="Miriam" w:hAnsi="Miriam" w:cs="Miriam"/>
          <w:sz w:val="24"/>
          <w:szCs w:val="24"/>
          <w:rtl/>
        </w:rPr>
        <w:t>מנטין</w:t>
      </w:r>
      <w:r>
        <w:rPr>
          <w:rFonts w:hint="cs"/>
          <w:sz w:val="28"/>
          <w:rtl/>
        </w:rPr>
        <w:t xml:space="preserve">, פסקאות 145-134 ).  </w:t>
      </w:r>
    </w:p>
    <w:p w:rsidR="0047397E" w:rsidRDefault="0047397E" w:rsidP="0047397E">
      <w:pPr>
        <w:pStyle w:val="Ruller41"/>
        <w:rPr>
          <w:sz w:val="28"/>
          <w:rtl/>
        </w:rPr>
      </w:pPr>
    </w:p>
    <w:p w:rsidR="0047397E" w:rsidRDefault="0047397E" w:rsidP="0047397E">
      <w:pPr>
        <w:pStyle w:val="Ruller41"/>
        <w:rPr>
          <w:sz w:val="28"/>
          <w:rtl/>
        </w:rPr>
      </w:pPr>
      <w:r>
        <w:rPr>
          <w:rFonts w:hint="cs"/>
          <w:sz w:val="28"/>
          <w:rtl/>
        </w:rPr>
        <w:t>86.</w:t>
      </w:r>
      <w:r>
        <w:rPr>
          <w:rFonts w:hint="cs"/>
          <w:sz w:val="28"/>
          <w:rtl/>
        </w:rPr>
        <w:tab/>
      </w:r>
      <w:r>
        <w:rPr>
          <w:rFonts w:hint="cs"/>
          <w:rtl/>
        </w:rPr>
        <w:t>נוכח תכליתו של הפיצוי העונשי שמבוסס כאמור על עקרונות הענישה וההרתעה, בעת פסיקת פיצוי עונשי ושיעורו, יש לקחת בחשבון את</w:t>
      </w:r>
      <w:r>
        <w:rPr>
          <w:rtl/>
        </w:rPr>
        <w:t xml:space="preserve"> חומרת המעשה, אופי התנהגותו של המזיק, מידת הסלידה שההתנהגות מעוררת, והיסוד הנפשי שנלווה למעשה</w:t>
      </w:r>
      <w:r>
        <w:rPr>
          <w:rFonts w:hint="cs"/>
          <w:rtl/>
        </w:rPr>
        <w:t xml:space="preserve"> (עניין </w:t>
      </w:r>
      <w:r w:rsidRPr="00676DD5">
        <w:rPr>
          <w:rFonts w:ascii="Miriam" w:hAnsi="Miriam" w:cs="Miriam"/>
          <w:sz w:val="24"/>
          <w:szCs w:val="24"/>
          <w:rtl/>
        </w:rPr>
        <w:t>מנטין</w:t>
      </w:r>
      <w:r>
        <w:rPr>
          <w:rFonts w:hint="cs"/>
          <w:rtl/>
        </w:rPr>
        <w:t xml:space="preserve">, פסקה 136, וכן פסקאות 12 ו- 15 לפסק דינו של השופט </w:t>
      </w:r>
      <w:r w:rsidRPr="00813D8B">
        <w:rPr>
          <w:rFonts w:ascii="Miriam" w:hAnsi="Miriam" w:cs="Miriam"/>
          <w:sz w:val="24"/>
          <w:szCs w:val="24"/>
          <w:rtl/>
        </w:rPr>
        <w:t>ד' מינץ</w:t>
      </w:r>
      <w:r w:rsidRPr="007F3DDA">
        <w:rPr>
          <w:rFonts w:ascii="FrankRuehl" w:hAnsi="FrankRuehl"/>
          <w:sz w:val="28"/>
          <w:rtl/>
        </w:rPr>
        <w:t xml:space="preserve">  בעניין</w:t>
      </w:r>
      <w:r w:rsidRPr="00657E2F">
        <w:rPr>
          <w:rFonts w:ascii="Miriam" w:hAnsi="Miriam" w:cs="Miriam"/>
          <w:szCs w:val="24"/>
          <w:rtl/>
        </w:rPr>
        <w:t xml:space="preserve"> פלונים בנושא מימון מחבלים</w:t>
      </w:r>
      <w:r>
        <w:rPr>
          <w:rFonts w:hint="cs"/>
          <w:rtl/>
        </w:rPr>
        <w:t>)</w:t>
      </w:r>
      <w:r>
        <w:rPr>
          <w:rtl/>
        </w:rPr>
        <w:t xml:space="preserve">. </w:t>
      </w:r>
    </w:p>
    <w:p w:rsidR="0047397E" w:rsidRDefault="0047397E" w:rsidP="0047397E">
      <w:pPr>
        <w:pStyle w:val="Ruller41"/>
        <w:rPr>
          <w:sz w:val="28"/>
          <w:rtl/>
        </w:rPr>
      </w:pPr>
    </w:p>
    <w:p w:rsidR="0047397E" w:rsidRDefault="0047397E" w:rsidP="0047397E">
      <w:pPr>
        <w:pStyle w:val="Ruller41"/>
        <w:rPr>
          <w:rtl/>
        </w:rPr>
      </w:pPr>
      <w:r>
        <w:rPr>
          <w:rFonts w:hint="cs"/>
          <w:sz w:val="28"/>
          <w:rtl/>
        </w:rPr>
        <w:t>87.</w:t>
      </w:r>
      <w:r>
        <w:rPr>
          <w:rFonts w:hint="cs"/>
          <w:sz w:val="28"/>
          <w:rtl/>
        </w:rPr>
        <w:tab/>
      </w:r>
      <w:r>
        <w:rPr>
          <w:sz w:val="28"/>
          <w:rtl/>
        </w:rPr>
        <w:t xml:space="preserve">מעשי טרור, שמטבעם הם מקוממים ומעוררים סלידה באופן מיוחד, הוכרו בפסיקה כמקרים המצדיקים פסיקת פיצויים עונשיים (עניין </w:t>
      </w:r>
      <w:r>
        <w:rPr>
          <w:rFonts w:ascii="Miriam" w:hAnsi="Miriam" w:cs="Miriam"/>
          <w:szCs w:val="24"/>
          <w:rtl/>
        </w:rPr>
        <w:t>מנטין</w:t>
      </w:r>
      <w:r>
        <w:rPr>
          <w:rFonts w:hint="cs"/>
          <w:sz w:val="28"/>
          <w:rtl/>
        </w:rPr>
        <w:t>;</w:t>
      </w:r>
      <w:r>
        <w:rPr>
          <w:rFonts w:hint="cs"/>
          <w:sz w:val="28"/>
        </w:rPr>
        <w:t xml:space="preserve"> </w:t>
      </w:r>
      <w:r>
        <w:rPr>
          <w:rFonts w:hint="cs"/>
          <w:sz w:val="28"/>
          <w:rtl/>
        </w:rPr>
        <w:t xml:space="preserve">ע"א 71/18 </w:t>
      </w:r>
      <w:r w:rsidRPr="00657E2F">
        <w:rPr>
          <w:rFonts w:ascii="Miriam" w:hAnsi="Miriam" w:cs="Miriam"/>
          <w:szCs w:val="24"/>
          <w:rtl/>
        </w:rPr>
        <w:t>הרשות הפלסטינית נ' יורשי המנוחה שרון בן שלום ז"ל</w:t>
      </w:r>
      <w:r>
        <w:rPr>
          <w:rFonts w:hint="cs"/>
          <w:sz w:val="28"/>
          <w:rtl/>
        </w:rPr>
        <w:t xml:space="preserve"> (10.3.2021) להלן:</w:t>
      </w:r>
      <w:r>
        <w:rPr>
          <w:sz w:val="28"/>
          <w:rtl/>
        </w:rPr>
        <w:t xml:space="preserve"> עניין </w:t>
      </w:r>
      <w:r>
        <w:rPr>
          <w:rFonts w:ascii="Miriam" w:hAnsi="Miriam" w:cs="Miriam"/>
          <w:szCs w:val="24"/>
          <w:rtl/>
        </w:rPr>
        <w:t>בן שלום</w:t>
      </w:r>
      <w:r>
        <w:rPr>
          <w:sz w:val="28"/>
          <w:rtl/>
        </w:rPr>
        <w:t xml:space="preserve">). להטלתם במקרי טרור </w:t>
      </w:r>
      <w:r>
        <w:rPr>
          <w:rtl/>
        </w:rPr>
        <w:t>נודעת חשיבות מיוחדת במקרים שבהם המזיק</w:t>
      </w:r>
      <w:r>
        <w:rPr>
          <w:rFonts w:hint="cs"/>
          <w:rtl/>
        </w:rPr>
        <w:t xml:space="preserve">, כמו  הרש"פ, </w:t>
      </w:r>
      <w:r>
        <w:rPr>
          <w:rtl/>
        </w:rPr>
        <w:t xml:space="preserve">לא </w:t>
      </w:r>
      <w:r>
        <w:rPr>
          <w:rFonts w:hint="cs"/>
          <w:rtl/>
        </w:rPr>
        <w:t>עומד</w:t>
      </w:r>
      <w:r>
        <w:rPr>
          <w:rtl/>
        </w:rPr>
        <w:t xml:space="preserve"> לדין פלילי (עניין </w:t>
      </w:r>
      <w:r>
        <w:rPr>
          <w:rFonts w:ascii="Miriam" w:hAnsi="Miriam" w:cs="Miriam"/>
          <w:szCs w:val="24"/>
          <w:rtl/>
        </w:rPr>
        <w:t>מנטין</w:t>
      </w:r>
      <w:r>
        <w:rPr>
          <w:rtl/>
        </w:rPr>
        <w:t xml:space="preserve"> פסק</w:t>
      </w:r>
      <w:r>
        <w:rPr>
          <w:rFonts w:hint="cs"/>
          <w:rtl/>
        </w:rPr>
        <w:t>אות 140 ו -</w:t>
      </w:r>
      <w:r>
        <w:rPr>
          <w:rtl/>
        </w:rPr>
        <w:t>153;</w:t>
      </w:r>
      <w:r>
        <w:rPr>
          <w:rFonts w:hint="cs"/>
        </w:rPr>
        <w:t xml:space="preserve"> </w:t>
      </w:r>
      <w:r>
        <w:rPr>
          <w:rtl/>
        </w:rPr>
        <w:t xml:space="preserve">עניין </w:t>
      </w:r>
      <w:r>
        <w:rPr>
          <w:rFonts w:ascii="Miriam" w:hAnsi="Miriam" w:cs="Miriam"/>
          <w:szCs w:val="24"/>
          <w:rtl/>
        </w:rPr>
        <w:t>בן שלום</w:t>
      </w:r>
      <w:r>
        <w:rPr>
          <w:rtl/>
        </w:rPr>
        <w:t>, פסקאות 77</w:t>
      </w:r>
      <w:r>
        <w:rPr>
          <w:rFonts w:hint="cs"/>
          <w:rtl/>
        </w:rPr>
        <w:t xml:space="preserve"> ו-86</w:t>
      </w:r>
      <w:r>
        <w:rPr>
          <w:rtl/>
        </w:rPr>
        <w:t xml:space="preserve">). </w:t>
      </w:r>
    </w:p>
    <w:p w:rsidR="0047397E" w:rsidRDefault="0047397E" w:rsidP="0047397E">
      <w:pPr>
        <w:pStyle w:val="Ruller41"/>
        <w:rPr>
          <w:rtl/>
        </w:rPr>
      </w:pPr>
    </w:p>
    <w:p w:rsidR="0047397E" w:rsidRDefault="0047397E" w:rsidP="0047397E">
      <w:pPr>
        <w:pStyle w:val="Ruller41"/>
        <w:rPr>
          <w:rtl/>
        </w:rPr>
      </w:pPr>
      <w:r>
        <w:rPr>
          <w:rFonts w:hint="cs"/>
          <w:rtl/>
        </w:rPr>
        <w:t>88.</w:t>
      </w:r>
      <w:r>
        <w:rPr>
          <w:rFonts w:hint="cs"/>
          <w:rtl/>
        </w:rPr>
        <w:tab/>
        <w:t>הרש"פ טוענת כי אין להשוות את המקרה שלפנינו למעשי הטרור שבגינם נפסקו פיצויים עונשיים. לטענת הרש"פ אין לפסוק במקרה דנן פיצוי עונשי משום שהיא "</w:t>
      </w:r>
      <w:r w:rsidRPr="00D25EAC">
        <w:rPr>
          <w:rFonts w:ascii="Miriam" w:hAnsi="Miriam" w:cs="Miriam"/>
          <w:sz w:val="24"/>
          <w:szCs w:val="24"/>
          <w:rtl/>
        </w:rPr>
        <w:t>לא בצעה שום מעשה בעל חומרה מוסרית יוצאת דופן</w:t>
      </w:r>
      <w:r>
        <w:rPr>
          <w:rFonts w:hint="cs"/>
          <w:rtl/>
        </w:rPr>
        <w:t xml:space="preserve">". זאת לטענתה משום שהיא סברה אז, והיא סבורה גם היום שהיא עצרה וכלאה את התובע על פי סמכויות שמוקנות לה כדין והיא פעלה בתום לב ולא בזדון. בעניין העינויים חוזרת הרש"פ על טענתה שהיא לא עינתה ולא תקפה (פסקה 131 לסיכומי הרש"פ). עוד טוענת הרש"פ כי להבדיל מנפגעי הטרור בעניין </w:t>
      </w:r>
      <w:r w:rsidRPr="00AE4B7C">
        <w:rPr>
          <w:rFonts w:ascii="Miriam" w:hAnsi="Miriam" w:cs="Miriam"/>
          <w:sz w:val="24"/>
          <w:szCs w:val="24"/>
          <w:rtl/>
        </w:rPr>
        <w:t xml:space="preserve">מנטין </w:t>
      </w:r>
      <w:r w:rsidRPr="00AE4B7C">
        <w:rPr>
          <w:rFonts w:ascii="FrankRuehl" w:hAnsi="FrankRuehl"/>
          <w:sz w:val="28"/>
          <w:rtl/>
        </w:rPr>
        <w:t>ובעניין</w:t>
      </w:r>
      <w:r>
        <w:rPr>
          <w:rFonts w:ascii="Miriam" w:hAnsi="Miriam" w:cs="Miriam" w:hint="cs"/>
          <w:sz w:val="24"/>
          <w:szCs w:val="24"/>
          <w:rtl/>
        </w:rPr>
        <w:t xml:space="preserve"> </w:t>
      </w:r>
      <w:r w:rsidRPr="00AE4B7C">
        <w:rPr>
          <w:rFonts w:ascii="Miriam" w:hAnsi="Miriam" w:cs="Miriam"/>
          <w:sz w:val="24"/>
          <w:szCs w:val="24"/>
          <w:rtl/>
        </w:rPr>
        <w:t>בן שלום</w:t>
      </w:r>
      <w:r>
        <w:rPr>
          <w:rFonts w:hint="cs"/>
          <w:rtl/>
        </w:rPr>
        <w:t xml:space="preserve"> שמקבלים תגמולים מהמוסד לביטוח לאומי ולכן הרש"פ לא חויבה בפיצויים תרופתיים, הרי שבענייננו, הרש"פ תחוייב </w:t>
      </w:r>
      <w:r>
        <w:rPr>
          <w:rFonts w:hint="cs"/>
          <w:rtl/>
        </w:rPr>
        <w:lastRenderedPageBreak/>
        <w:t xml:space="preserve">בפיצויים תרופתיים ודי בפיצוי התרופתי כדי להשיג את מטרת ההרתעה שבבסיס הפיצוי העונשי. בנוסף טוענת הרש"פ כי תוצאת המעשה היא מזערית וחסרת כל השפעה תפקודית ואף שהצדדים הסכימו על קיומה של נכות נפשית בשיעור של 15%, הרי שלא הוכח לטענתה שהתובע הוכה או עונה ולכן המסקנה היא שהנכות הנפשית לא נגרמה כתוצאה מעינויים (פסקה 135 לסיכומי הרש"פ). מכל מקום, טוענת הרש"פ, במקרים שנפסקו פיצויים עונשיים לנפגעי טרור, מדובר היה בתוצאה קטלנית מה אין כן בענייננו ולכן אין לפסוק פיצוי עונשי במקרה דנן.  </w:t>
      </w:r>
    </w:p>
    <w:p w:rsidR="0047397E" w:rsidRDefault="0047397E" w:rsidP="0047397E">
      <w:pPr>
        <w:pStyle w:val="Ruller41"/>
        <w:rPr>
          <w:rtl/>
        </w:rPr>
      </w:pPr>
    </w:p>
    <w:p w:rsidR="0047397E" w:rsidRDefault="0047397E" w:rsidP="0047397E">
      <w:pPr>
        <w:pStyle w:val="Ruller41"/>
        <w:rPr>
          <w:rtl/>
        </w:rPr>
      </w:pPr>
      <w:r>
        <w:rPr>
          <w:rFonts w:hint="cs"/>
          <w:rtl/>
        </w:rPr>
        <w:t>אין לקבל את טענות הרש"פ.</w:t>
      </w:r>
    </w:p>
    <w:p w:rsidR="0047397E" w:rsidRDefault="0047397E" w:rsidP="0047397E">
      <w:pPr>
        <w:pStyle w:val="Ruller41"/>
        <w:rPr>
          <w:rtl/>
        </w:rPr>
      </w:pPr>
    </w:p>
    <w:p w:rsidR="0047397E" w:rsidRDefault="0047397E" w:rsidP="0047397E">
      <w:pPr>
        <w:pStyle w:val="Ruller41"/>
        <w:rPr>
          <w:rtl/>
        </w:rPr>
      </w:pPr>
      <w:r>
        <w:rPr>
          <w:rFonts w:hint="cs"/>
          <w:rtl/>
        </w:rPr>
        <w:t>89.</w:t>
      </w:r>
      <w:r>
        <w:rPr>
          <w:rFonts w:hint="cs"/>
          <w:rtl/>
        </w:rPr>
        <w:tab/>
        <w:t xml:space="preserve">אין ספק כי במקרה שלפנינו נעשו בזדון מעשים חמורים ואכזריים במיוחד המעוררים סלידה ושאט נפש. מעשים אכזריים אלו בוצעו, בין היתר, כדי לזרוע אימה ופחד בקרב העושים עבודת קודש ומסייעים למדינת ישראל בסיכול פעולות טרור ומניעת רצח ופציעות קשות של אזרחים תמימים. בהקשר זה יוער כי אף לוּ סברתי שאין בכליאת השווא כשלעצמה כדי להצדיק פסיקת פיצוי עונשי, הרי שבנסיבות שבהן הכליאה לוותה בעינויים קשים ומשפילים, ובפחד מתמיד מפני עינויים חוזרים ונשנים בכל תקופת המאסר, אין ספק שמדובר במקרה חריג, מזעזע, מקומם וראוי לכל גינוי. לכך אוסיף כי גם בענייננו, כמו במקרי הטרור שאוזכרו לעיל, המזיק, לא הועמד לדין פלילי וגם בכך יש כדי לחזק את המסקנה לפיה יש לפסוק פיצוי עונשי. כן לא מצאתי ממש בטענה לפיה אין להשוות את ענייננו למקרי הטרור היות ובמקרי הטרור לא נפסקו פיצויים תרופתיים לצד הפיצויים העונשיים. זאת משום שאין חולק על כך שנפגעי הטרור זכאים לפיצויים תרופתיים בנוסף לפיצויים העונשיים והעובדה שיש נפגעי טרור (ואולי אף מרביתם)  שמעדיפים מסיבות שונות, לגבות את תגמולי המל"ל חלף הפיצויים התרופתיים אין בה כדי לשנות לענייננו.  </w:t>
      </w:r>
    </w:p>
    <w:p w:rsidR="0047397E" w:rsidRDefault="0047397E" w:rsidP="0047397E">
      <w:pPr>
        <w:pStyle w:val="Ruller41"/>
        <w:rPr>
          <w:rtl/>
        </w:rPr>
      </w:pPr>
    </w:p>
    <w:p w:rsidR="0047397E" w:rsidRDefault="0047397E" w:rsidP="0047397E">
      <w:pPr>
        <w:pStyle w:val="Ruller41"/>
        <w:rPr>
          <w:rtl/>
        </w:rPr>
      </w:pPr>
      <w:r>
        <w:rPr>
          <w:rFonts w:hint="cs"/>
          <w:rtl/>
        </w:rPr>
        <w:t>90.</w:t>
      </w:r>
      <w:r>
        <w:rPr>
          <w:rFonts w:hint="cs"/>
          <w:rtl/>
        </w:rPr>
        <w:tab/>
        <w:t>אשר לחומרת הפגיעה והשפעתה על הפיצוי העונשי ושיעורו - הגם שנוכח תכליתם של הפיצויים העונשיים צריך שתתקיים הלימה בין החומרה המוסרית של המעשה ובין הענישה, "</w:t>
      </w:r>
      <w:r w:rsidRPr="00D25EAC">
        <w:rPr>
          <w:rFonts w:ascii="Miriam" w:hAnsi="Miriam" w:cs="Miriam"/>
          <w:sz w:val="24"/>
          <w:szCs w:val="24"/>
          <w:rtl/>
        </w:rPr>
        <w:t xml:space="preserve">אין פירוש הדבר כי לגובה הנזק שנגרם לניזוק בפועל, אין כל </w:t>
      </w:r>
      <w:r w:rsidRPr="00D25EAC">
        <w:rPr>
          <w:rFonts w:ascii="Miriam" w:hAnsi="Miriam" w:cs="Miriam"/>
          <w:sz w:val="24"/>
          <w:szCs w:val="24"/>
          <w:rtl/>
        </w:rPr>
        <w:lastRenderedPageBreak/>
        <w:t>משמעות. גובה הנזק שנגרם לניזוק, אף אם אינו מסמן את 'הגבול העליון' של הפיצוי העונשי, הוא משתנה רלוונטי בקביעת גובה הפיצוי העונשי שראוי לפסוק בנסיבות העניין</w:t>
      </w:r>
      <w:r>
        <w:rPr>
          <w:rFonts w:hint="cs"/>
          <w:rtl/>
        </w:rPr>
        <w:t>" לכן נפסק ש"</w:t>
      </w:r>
      <w:r w:rsidRPr="00D25EAC">
        <w:rPr>
          <w:rFonts w:ascii="Miriam" w:hAnsi="Miriam" w:cs="Miriam"/>
          <w:sz w:val="24"/>
          <w:szCs w:val="24"/>
          <w:rtl/>
        </w:rPr>
        <w:t xml:space="preserve">אף במקרים בהם יימצא כי מתקיימים התנאים לפסיקת פיצויים עונשיים הגם שהנזק שנגרם אינו גבוה במיוחד, צריך </w:t>
      </w:r>
      <w:r>
        <w:rPr>
          <w:rFonts w:ascii="Miriam" w:hAnsi="Miriam" w:cs="Miriam" w:hint="cs"/>
          <w:sz w:val="24"/>
          <w:szCs w:val="24"/>
          <w:rtl/>
        </w:rPr>
        <w:t>ש</w:t>
      </w:r>
      <w:r w:rsidRPr="00D25EAC">
        <w:rPr>
          <w:rFonts w:ascii="Miriam" w:hAnsi="Miriam" w:cs="Miriam"/>
          <w:sz w:val="24"/>
          <w:szCs w:val="24"/>
          <w:rtl/>
        </w:rPr>
        <w:t>תהיה הלימה מסויימת בין שיעור הפיצוי העו</w:t>
      </w:r>
      <w:r>
        <w:rPr>
          <w:rFonts w:ascii="Miriam" w:hAnsi="Miriam" w:cs="Miriam" w:hint="cs"/>
          <w:sz w:val="24"/>
          <w:szCs w:val="24"/>
          <w:rtl/>
        </w:rPr>
        <w:t>נש</w:t>
      </w:r>
      <w:r w:rsidRPr="00D25EAC">
        <w:rPr>
          <w:rFonts w:ascii="Miriam" w:hAnsi="Miriam" w:cs="Miriam"/>
          <w:sz w:val="24"/>
          <w:szCs w:val="24"/>
          <w:rtl/>
        </w:rPr>
        <w:t>י לבין שיעור הנזק שנגרם.</w:t>
      </w:r>
      <w:r>
        <w:rPr>
          <w:rFonts w:ascii="Miriam" w:hAnsi="Miriam" w:cs="Miriam" w:hint="cs"/>
          <w:sz w:val="24"/>
          <w:szCs w:val="24"/>
          <w:rtl/>
        </w:rPr>
        <w:t xml:space="preserve"> </w:t>
      </w:r>
      <w:r w:rsidRPr="00D25EAC">
        <w:rPr>
          <w:rFonts w:ascii="Miriam" w:hAnsi="Miriam" w:cs="Miriam"/>
          <w:sz w:val="24"/>
          <w:szCs w:val="24"/>
          <w:rtl/>
        </w:rPr>
        <w:t>זאת שכן חרף תפיש</w:t>
      </w:r>
      <w:r>
        <w:rPr>
          <w:rFonts w:ascii="Miriam" w:hAnsi="Miriam" w:cs="Miriam" w:hint="cs"/>
          <w:sz w:val="24"/>
          <w:szCs w:val="24"/>
          <w:rtl/>
        </w:rPr>
        <w:t>ת</w:t>
      </w:r>
      <w:r w:rsidRPr="00D25EAC">
        <w:rPr>
          <w:rFonts w:ascii="Miriam" w:hAnsi="Miriam" w:cs="Miriam"/>
          <w:sz w:val="24"/>
          <w:szCs w:val="24"/>
          <w:rtl/>
        </w:rPr>
        <w:t>ם של הפיצויים העונ</w:t>
      </w:r>
      <w:r>
        <w:rPr>
          <w:rFonts w:ascii="Miriam" w:hAnsi="Miriam" w:cs="Miriam" w:hint="cs"/>
          <w:sz w:val="24"/>
          <w:szCs w:val="24"/>
          <w:rtl/>
        </w:rPr>
        <w:t>ש</w:t>
      </w:r>
      <w:r w:rsidRPr="00D25EAC">
        <w:rPr>
          <w:rFonts w:ascii="Miriam" w:hAnsi="Miriam" w:cs="Miriam"/>
          <w:sz w:val="24"/>
          <w:szCs w:val="24"/>
          <w:rtl/>
        </w:rPr>
        <w:t>י</w:t>
      </w:r>
      <w:r>
        <w:rPr>
          <w:rFonts w:ascii="Miriam" w:hAnsi="Miriam" w:cs="Miriam" w:hint="cs"/>
          <w:sz w:val="24"/>
          <w:szCs w:val="24"/>
          <w:rtl/>
        </w:rPr>
        <w:t>י</w:t>
      </w:r>
      <w:r w:rsidRPr="00D25EAC">
        <w:rPr>
          <w:rFonts w:ascii="Miriam" w:hAnsi="Miriam" w:cs="Miriam"/>
          <w:sz w:val="24"/>
          <w:szCs w:val="24"/>
          <w:rtl/>
        </w:rPr>
        <w:t>ם 'כחריגים בנוף' של ההליך הנזיקי, בסופו של יום הם עדיין נמצאים בדל"ת אמותיו</w:t>
      </w:r>
      <w:r>
        <w:rPr>
          <w:rFonts w:hint="cs"/>
          <w:rtl/>
        </w:rPr>
        <w:t xml:space="preserve">" (ע"א 131/21 </w:t>
      </w:r>
      <w:r w:rsidRPr="00D25EAC">
        <w:rPr>
          <w:rFonts w:ascii="Miriam" w:hAnsi="Miriam" w:cs="Miriam"/>
          <w:sz w:val="24"/>
          <w:szCs w:val="24"/>
          <w:rtl/>
        </w:rPr>
        <w:t>פלונית נ' פלוני</w:t>
      </w:r>
      <w:r>
        <w:rPr>
          <w:rFonts w:hint="cs"/>
          <w:rtl/>
        </w:rPr>
        <w:t xml:space="preserve">, פסקה 6 לפסק דינו של כב' השופט </w:t>
      </w:r>
      <w:r w:rsidRPr="00D25EAC">
        <w:rPr>
          <w:rFonts w:ascii="Miriam" w:hAnsi="Miriam" w:cs="Miriam"/>
          <w:sz w:val="24"/>
          <w:szCs w:val="24"/>
          <w:rtl/>
        </w:rPr>
        <w:t>ד' מינץ</w:t>
      </w:r>
      <w:r>
        <w:rPr>
          <w:rFonts w:hint="cs"/>
          <w:rtl/>
        </w:rPr>
        <w:t xml:space="preserve"> (13.4.2022) (להלן: </w:t>
      </w:r>
      <w:r w:rsidRPr="00D25EAC">
        <w:rPr>
          <w:rFonts w:ascii="Miriam" w:hAnsi="Miriam" w:cs="Miriam"/>
          <w:sz w:val="24"/>
          <w:szCs w:val="24"/>
          <w:rtl/>
        </w:rPr>
        <w:t>עניין פלונית</w:t>
      </w:r>
      <w:r>
        <w:rPr>
          <w:rFonts w:hint="cs"/>
          <w:rtl/>
        </w:rPr>
        <w:t xml:space="preserve">)). </w:t>
      </w:r>
    </w:p>
    <w:p w:rsidR="0047397E" w:rsidRDefault="0047397E" w:rsidP="0047397E">
      <w:pPr>
        <w:pStyle w:val="Ruller41"/>
        <w:rPr>
          <w:rtl/>
        </w:rPr>
      </w:pPr>
    </w:p>
    <w:p w:rsidR="0047397E" w:rsidRDefault="0047397E" w:rsidP="0047397E">
      <w:pPr>
        <w:pStyle w:val="Ruller41"/>
        <w:rPr>
          <w:color w:val="000000" w:themeColor="text1"/>
          <w:rtl/>
        </w:rPr>
      </w:pPr>
      <w:r>
        <w:rPr>
          <w:rFonts w:hint="cs"/>
          <w:rtl/>
        </w:rPr>
        <w:t>91.</w:t>
      </w:r>
      <w:r>
        <w:rPr>
          <w:rFonts w:hint="cs"/>
          <w:rtl/>
        </w:rPr>
        <w:tab/>
      </w:r>
      <w:r w:rsidRPr="00D25EAC">
        <w:rPr>
          <w:color w:val="000000" w:themeColor="text1"/>
          <w:rtl/>
        </w:rPr>
        <w:t>כפי ש</w:t>
      </w:r>
      <w:r>
        <w:rPr>
          <w:rFonts w:hint="cs"/>
          <w:color w:val="000000" w:themeColor="text1"/>
          <w:rtl/>
        </w:rPr>
        <w:t>הרחבתי</w:t>
      </w:r>
      <w:r w:rsidRPr="00D25EAC">
        <w:rPr>
          <w:color w:val="000000" w:themeColor="text1"/>
          <w:rtl/>
        </w:rPr>
        <w:t xml:space="preserve"> בפסק דיני ב</w:t>
      </w:r>
      <w:r>
        <w:rPr>
          <w:rFonts w:hint="cs"/>
          <w:color w:val="000000" w:themeColor="text1"/>
          <w:rtl/>
        </w:rPr>
        <w:t>תא 4333-02</w:t>
      </w:r>
      <w:r w:rsidRPr="00D25EAC">
        <w:rPr>
          <w:color w:val="000000" w:themeColor="text1"/>
          <w:rtl/>
        </w:rPr>
        <w:t xml:space="preserve"> </w:t>
      </w:r>
      <w:r>
        <w:rPr>
          <w:rFonts w:ascii="Miriam" w:hAnsi="Miriam" w:cs="Miriam" w:hint="cs"/>
          <w:color w:val="000000" w:themeColor="text1"/>
          <w:szCs w:val="24"/>
          <w:rtl/>
        </w:rPr>
        <w:t>פלונית</w:t>
      </w:r>
      <w:r w:rsidRPr="00D25EAC">
        <w:rPr>
          <w:rFonts w:ascii="Miriam" w:hAnsi="Miriam" w:cs="Miriam"/>
          <w:color w:val="000000" w:themeColor="text1"/>
          <w:szCs w:val="24"/>
          <w:rtl/>
        </w:rPr>
        <w:t xml:space="preserve"> ואח' נ' הרשות הפלסטינית</w:t>
      </w:r>
      <w:r>
        <w:rPr>
          <w:rFonts w:ascii="Miriam" w:hAnsi="Miriam" w:cs="Miriam" w:hint="cs"/>
          <w:color w:val="000000" w:themeColor="text1"/>
          <w:szCs w:val="24"/>
          <w:rtl/>
        </w:rPr>
        <w:t xml:space="preserve">, </w:t>
      </w:r>
      <w:r w:rsidRPr="008C220B">
        <w:rPr>
          <w:rFonts w:ascii="FrankRuehl" w:hAnsi="FrankRuehl"/>
          <w:color w:val="000000" w:themeColor="text1"/>
          <w:sz w:val="28"/>
          <w:rtl/>
        </w:rPr>
        <w:t>פסקאו</w:t>
      </w:r>
      <w:r>
        <w:rPr>
          <w:rFonts w:ascii="FrankRuehl" w:hAnsi="FrankRuehl" w:hint="cs"/>
          <w:color w:val="000000" w:themeColor="text1"/>
          <w:sz w:val="28"/>
          <w:rtl/>
        </w:rPr>
        <w:t>ת 26-23</w:t>
      </w:r>
      <w:r w:rsidRPr="00D25EAC">
        <w:rPr>
          <w:rFonts w:ascii="Times New Roman" w:hAnsi="Times New Roman" w:cs="David"/>
          <w:color w:val="000000" w:themeColor="text1"/>
          <w:spacing w:val="0"/>
          <w:szCs w:val="24"/>
          <w:rtl/>
        </w:rPr>
        <w:t xml:space="preserve"> </w:t>
      </w:r>
      <w:r w:rsidRPr="00D25EAC">
        <w:rPr>
          <w:color w:val="000000" w:themeColor="text1"/>
          <w:rtl/>
        </w:rPr>
        <w:t xml:space="preserve">(2.11.2020) (להלן: </w:t>
      </w:r>
      <w:r w:rsidRPr="00D25EAC">
        <w:rPr>
          <w:rFonts w:ascii="Miriam" w:hAnsi="Miriam" w:cs="Miriam"/>
          <w:color w:val="000000" w:themeColor="text1"/>
          <w:szCs w:val="24"/>
          <w:rtl/>
        </w:rPr>
        <w:t>עניין</w:t>
      </w:r>
      <w:r w:rsidRPr="00D25EAC">
        <w:rPr>
          <w:color w:val="000000" w:themeColor="text1"/>
          <w:rtl/>
        </w:rPr>
        <w:t xml:space="preserve"> </w:t>
      </w:r>
      <w:r>
        <w:rPr>
          <w:rFonts w:ascii="Miriam" w:hAnsi="Miriam" w:cs="Miriam" w:hint="cs"/>
          <w:color w:val="000000" w:themeColor="text1"/>
          <w:szCs w:val="24"/>
          <w:rtl/>
        </w:rPr>
        <w:t>פלונית - מחוזי</w:t>
      </w:r>
      <w:r w:rsidRPr="00D25EAC">
        <w:rPr>
          <w:rFonts w:ascii="Miriam" w:hAnsi="Miriam" w:cs="Miriam"/>
          <w:color w:val="000000" w:themeColor="text1"/>
          <w:szCs w:val="24"/>
          <w:rtl/>
        </w:rPr>
        <w:t>)</w:t>
      </w:r>
      <w:r>
        <w:rPr>
          <w:color w:val="000000" w:themeColor="text1"/>
          <w:rtl/>
        </w:rPr>
        <w:t xml:space="preserve">, מקובלת עליי עמדתה של המלומדת </w:t>
      </w:r>
      <w:r>
        <w:rPr>
          <w:rFonts w:hint="cs"/>
          <w:color w:val="000000" w:themeColor="text1"/>
          <w:rtl/>
        </w:rPr>
        <w:t xml:space="preserve">אור קרסין </w:t>
      </w:r>
      <w:r w:rsidRPr="00D25EAC">
        <w:rPr>
          <w:color w:val="000000" w:themeColor="text1"/>
          <w:rtl/>
        </w:rPr>
        <w:t xml:space="preserve">מחקרי משפט כט, התשמ"ד - 2014, 571 (להלן: </w:t>
      </w:r>
      <w:r w:rsidRPr="00D25EAC">
        <w:rPr>
          <w:rFonts w:cs="Miriam"/>
          <w:color w:val="000000" w:themeColor="text1"/>
          <w:szCs w:val="24"/>
          <w:rtl/>
        </w:rPr>
        <w:t>קרסין</w:t>
      </w:r>
      <w:r w:rsidRPr="00D25EAC">
        <w:rPr>
          <w:color w:val="000000" w:themeColor="text1"/>
          <w:rtl/>
        </w:rPr>
        <w:t>), כי אף שהמטרות שבבסיס הפיצוי העונשי הן גמול והרתעה בדומה למטרותיו של ההליך הפלילי, לא די בבחינת היסוד הנפשי לשם פסיקת פיצוי עונשי אלא "</w:t>
      </w:r>
      <w:r w:rsidRPr="00D25EAC">
        <w:rPr>
          <w:rFonts w:cs="Miriam"/>
          <w:color w:val="000000" w:themeColor="text1"/>
          <w:szCs w:val="24"/>
          <w:rtl/>
        </w:rPr>
        <w:t xml:space="preserve">יש להביא בחשבון הן את חומרת המעשה והן את </w:t>
      </w:r>
      <w:r w:rsidRPr="00D25EAC">
        <w:rPr>
          <w:rFonts w:cs="Miriam"/>
          <w:b/>
          <w:bCs/>
          <w:color w:val="000000" w:themeColor="text1"/>
          <w:szCs w:val="24"/>
          <w:u w:val="single"/>
          <w:rtl/>
        </w:rPr>
        <w:t xml:space="preserve">חומרת </w:t>
      </w:r>
      <w:r w:rsidRPr="00D25EAC">
        <w:rPr>
          <w:rFonts w:cs="Miriam"/>
          <w:b/>
          <w:bCs/>
          <w:szCs w:val="24"/>
          <w:u w:val="single"/>
          <w:rtl/>
        </w:rPr>
        <w:t>התוצאה</w:t>
      </w:r>
      <w:r w:rsidRPr="00D25EAC">
        <w:rPr>
          <w:rFonts w:cs="Miriam"/>
          <w:szCs w:val="24"/>
          <w:rtl/>
        </w:rPr>
        <w:t xml:space="preserve"> נוסף על היסוד הנפשי</w:t>
      </w:r>
      <w:r>
        <w:rPr>
          <w:rtl/>
        </w:rPr>
        <w:t>" (קרסין, עמ' 588) שכן "</w:t>
      </w:r>
      <w:r w:rsidRPr="00D25EAC">
        <w:rPr>
          <w:rFonts w:cs="Miriam"/>
          <w:szCs w:val="24"/>
          <w:rtl/>
        </w:rPr>
        <w:t>המציאות מלמדת כי תוצאות הן מרכיב חשוב בשיקולי ענישה במשפט</w:t>
      </w:r>
      <w:r>
        <w:rPr>
          <w:rtl/>
        </w:rPr>
        <w:t xml:space="preserve">" (שם, עמ' 589). </w:t>
      </w:r>
      <w:r w:rsidRPr="00D25EAC">
        <w:rPr>
          <w:sz w:val="28"/>
          <w:rtl/>
        </w:rPr>
        <w:t xml:space="preserve">ואכן בהתאם לדין הפלילי, במסגרת קביעת מתחם העונש ההולם לשם גזירת הדין בהליך פלילי, על בית המשפט להתחשב </w:t>
      </w:r>
      <w:r>
        <w:rPr>
          <w:rtl/>
        </w:rPr>
        <w:t xml:space="preserve">בין </w:t>
      </w:r>
      <w:r w:rsidRPr="00D25EAC">
        <w:rPr>
          <w:color w:val="000000" w:themeColor="text1"/>
          <w:rtl/>
        </w:rPr>
        <w:t xml:space="preserve">היתר בנזק שהיה צפוי להיגרם מביצוע העבירה </w:t>
      </w:r>
      <w:r w:rsidRPr="00D25EAC">
        <w:rPr>
          <w:b/>
          <w:bCs/>
          <w:color w:val="000000" w:themeColor="text1"/>
          <w:rtl/>
        </w:rPr>
        <w:t>ובנזק שנגרם בפועל מביצוע העבירה</w:t>
      </w:r>
      <w:r w:rsidRPr="00D25EAC">
        <w:rPr>
          <w:color w:val="000000" w:themeColor="text1"/>
          <w:rtl/>
        </w:rPr>
        <w:t xml:space="preserve"> (סעיף </w:t>
      </w:r>
      <w:hyperlink r:id="rId8" w:history="1">
        <w:r w:rsidRPr="00D25EAC">
          <w:rPr>
            <w:rStyle w:val="Hyperlink"/>
            <w:color w:val="000000" w:themeColor="text1"/>
            <w:rtl/>
          </w:rPr>
          <w:t>40</w:t>
        </w:r>
        <w:r w:rsidRPr="00D25EAC">
          <w:rPr>
            <w:rStyle w:val="Hyperlink"/>
            <w:rFonts w:hint="cs"/>
            <w:color w:val="000000" w:themeColor="text1"/>
            <w:rtl/>
          </w:rPr>
          <w:t>ט</w:t>
        </w:r>
        <w:r w:rsidRPr="00D25EAC">
          <w:rPr>
            <w:rStyle w:val="Hyperlink"/>
            <w:color w:val="000000" w:themeColor="text1"/>
            <w:rtl/>
          </w:rPr>
          <w:t>(</w:t>
        </w:r>
        <w:r w:rsidRPr="00D25EAC">
          <w:rPr>
            <w:rStyle w:val="Hyperlink"/>
            <w:rFonts w:hint="cs"/>
            <w:color w:val="000000" w:themeColor="text1"/>
            <w:rtl/>
          </w:rPr>
          <w:t>א</w:t>
        </w:r>
        <w:r w:rsidRPr="00D25EAC">
          <w:rPr>
            <w:rStyle w:val="Hyperlink"/>
            <w:color w:val="000000" w:themeColor="text1"/>
            <w:rtl/>
          </w:rPr>
          <w:t>)(3)</w:t>
        </w:r>
        <w:r w:rsidRPr="00D25EAC">
          <w:rPr>
            <w:rStyle w:val="Hyperlink"/>
            <w:rFonts w:hint="cs"/>
            <w:color w:val="000000" w:themeColor="text1"/>
            <w:rtl/>
          </w:rPr>
          <w:t>ו</w:t>
        </w:r>
        <w:r w:rsidRPr="00D25EAC">
          <w:rPr>
            <w:rStyle w:val="Hyperlink"/>
            <w:color w:val="000000" w:themeColor="text1"/>
            <w:rtl/>
          </w:rPr>
          <w:t>-(4)</w:t>
        </w:r>
      </w:hyperlink>
      <w:r w:rsidRPr="00D25EAC">
        <w:rPr>
          <w:color w:val="000000" w:themeColor="text1"/>
          <w:rtl/>
        </w:rPr>
        <w:t>ל</w:t>
      </w:r>
      <w:r>
        <w:rPr>
          <w:rFonts w:hint="cs"/>
          <w:color w:val="000000" w:themeColor="text1"/>
          <w:rtl/>
        </w:rPr>
        <w:t>חוק העונשין</w:t>
      </w:r>
      <w:r w:rsidRPr="00D25EAC">
        <w:rPr>
          <w:color w:val="000000" w:themeColor="text1"/>
          <w:rtl/>
        </w:rPr>
        <w:t xml:space="preserve">, תשל"ז - 1977). אם כך הדבר בעת גזירת הדין בהליך פלילי על אחת כמה וכמה במסגרת פסיקת פיצויים עונשיים שבסופו של יום מקורם בדיני הנזיקין שתכליתם העיקרית היא פיצוי בגין הנזק שנגרם בפועל. </w:t>
      </w:r>
    </w:p>
    <w:p w:rsidR="0047397E" w:rsidRDefault="0047397E" w:rsidP="0047397E">
      <w:pPr>
        <w:pStyle w:val="Ruller41"/>
        <w:rPr>
          <w:color w:val="000000" w:themeColor="text1"/>
          <w:rtl/>
        </w:rPr>
      </w:pPr>
    </w:p>
    <w:p w:rsidR="0047397E" w:rsidRDefault="0047397E" w:rsidP="0047397E">
      <w:pPr>
        <w:pStyle w:val="Ruller41"/>
        <w:rPr>
          <w:rtl/>
        </w:rPr>
      </w:pPr>
      <w:r>
        <w:rPr>
          <w:rFonts w:hint="cs"/>
          <w:color w:val="000000" w:themeColor="text1"/>
          <w:rtl/>
        </w:rPr>
        <w:t>92.</w:t>
      </w:r>
      <w:r>
        <w:rPr>
          <w:rFonts w:hint="cs"/>
          <w:color w:val="000000" w:themeColor="text1"/>
          <w:rtl/>
        </w:rPr>
        <w:tab/>
      </w:r>
      <w:r>
        <w:rPr>
          <w:rtl/>
        </w:rPr>
        <w:t xml:space="preserve">כב' השופטת </w:t>
      </w:r>
      <w:r>
        <w:rPr>
          <w:rFonts w:ascii="Miriam" w:hAnsi="Miriam" w:cs="Miriam"/>
          <w:szCs w:val="24"/>
          <w:rtl/>
        </w:rPr>
        <w:t>י' וילנר</w:t>
      </w:r>
      <w:r>
        <w:rPr>
          <w:rtl/>
        </w:rPr>
        <w:t xml:space="preserve"> בעניין </w:t>
      </w:r>
      <w:r>
        <w:rPr>
          <w:rFonts w:ascii="Miriam" w:hAnsi="Miriam" w:cs="Miriam"/>
          <w:szCs w:val="24"/>
          <w:rtl/>
        </w:rPr>
        <w:t xml:space="preserve">בן שלום, </w:t>
      </w:r>
      <w:r>
        <w:rPr>
          <w:rFonts w:ascii="FrankRuehl" w:hAnsi="FrankRuehl"/>
          <w:sz w:val="28"/>
          <w:rtl/>
        </w:rPr>
        <w:t xml:space="preserve">מציינת </w:t>
      </w:r>
      <w:r>
        <w:rPr>
          <w:rFonts w:ascii="FrankRuehl" w:hAnsi="FrankRuehl" w:hint="cs"/>
          <w:sz w:val="28"/>
          <w:rtl/>
        </w:rPr>
        <w:t xml:space="preserve">אף היא </w:t>
      </w:r>
      <w:r>
        <w:rPr>
          <w:rtl/>
        </w:rPr>
        <w:t>כי תוצאות מעשיו של המזיק מהוות אינדיקציה לחומרת המעשה ולכן "</w:t>
      </w:r>
      <w:r>
        <w:rPr>
          <w:rFonts w:ascii="Miriam" w:hAnsi="Miriam" w:cs="Miriam"/>
          <w:szCs w:val="24"/>
          <w:rtl/>
        </w:rPr>
        <w:t>ממילא יש ב</w:t>
      </w:r>
      <w:r>
        <w:rPr>
          <w:rFonts w:ascii="Miriam" w:hAnsi="Miriam" w:cs="Miriam"/>
          <w:b/>
          <w:bCs/>
          <w:szCs w:val="24"/>
          <w:u w:val="single"/>
          <w:rtl/>
        </w:rPr>
        <w:t>תוצאות</w:t>
      </w:r>
      <w:r>
        <w:rPr>
          <w:rFonts w:ascii="Miriam" w:hAnsi="Miriam" w:cs="Miriam"/>
          <w:b/>
          <w:bCs/>
          <w:szCs w:val="24"/>
          <w:rtl/>
        </w:rPr>
        <w:t xml:space="preserve"> </w:t>
      </w:r>
      <w:r>
        <w:rPr>
          <w:rFonts w:ascii="Miriam" w:hAnsi="Miriam" w:cs="Miriam"/>
          <w:szCs w:val="24"/>
          <w:rtl/>
        </w:rPr>
        <w:t>העוולה כדי להשליך גם על פסיקת הפיצויים העונשיים"</w:t>
      </w:r>
      <w:r>
        <w:rPr>
          <w:rtl/>
        </w:rPr>
        <w:t xml:space="preserve"> (עניין </w:t>
      </w:r>
      <w:r>
        <w:rPr>
          <w:rFonts w:ascii="Miriam" w:hAnsi="Miriam" w:cs="Miriam"/>
          <w:szCs w:val="24"/>
          <w:rtl/>
        </w:rPr>
        <w:t>בן שלום</w:t>
      </w:r>
      <w:r>
        <w:rPr>
          <w:rtl/>
        </w:rPr>
        <w:t>, פסקה 134)[ההדגשה הוספה, מ.א]. עוד מציינת כב' השופטת וילנר כי "</w:t>
      </w:r>
      <w:r>
        <w:rPr>
          <w:rFonts w:ascii="Miriam" w:hAnsi="Miriam" w:cs="Miriam"/>
          <w:szCs w:val="24"/>
          <w:rtl/>
        </w:rPr>
        <w:t xml:space="preserve">התחשבות בתוצאות העוולה מתיישבת עם תכליתם הגמולית של הפיצויים העונשיים, כמו גם עם מטרתם להשיב את השוויון בין המזיק והניזוק על כנו ועם הגינוי החברתי המובע באמצעותם... אף </w:t>
      </w:r>
      <w:r>
        <w:rPr>
          <w:rFonts w:ascii="Miriam" w:hAnsi="Miriam" w:cs="Miriam"/>
          <w:szCs w:val="24"/>
          <w:rtl/>
        </w:rPr>
        <w:lastRenderedPageBreak/>
        <w:t>בהיקש מדיני העונשין נמצא כי 'הנזק מביצוע העבירה' מהווה אחד השיקולים שעל בית מהשפט להתחשב בהם בעת קביעת מתחם הענישה ההולם על פי סעיף 40ט(א)04) לחוק העושנין, התשל"ז – 1977. כן נקבע לא אחת בפסיקה כי היקף הנזק שנגרם עקב עבירה שבוצעה, ולא כל שכן מספר הקורבנות בנפש אשר גבתה עבירה זו, מהווה שיקול נכבד בגזירת העונש הראוי</w:t>
      </w:r>
      <w:r>
        <w:rPr>
          <w:rtl/>
        </w:rPr>
        <w:t xml:space="preserve">" (שם, פסקה 135). כב' השופטת </w:t>
      </w:r>
      <w:r>
        <w:rPr>
          <w:rFonts w:ascii="Miriam" w:hAnsi="Miriam" w:cs="Miriam"/>
          <w:szCs w:val="24"/>
          <w:rtl/>
        </w:rPr>
        <w:t>י' וילנר</w:t>
      </w:r>
      <w:r>
        <w:rPr>
          <w:rtl/>
        </w:rPr>
        <w:t xml:space="preserve"> מסכמת ומציינת כי "</w:t>
      </w:r>
      <w:r>
        <w:rPr>
          <w:rFonts w:ascii="Miriam" w:hAnsi="Miriam" w:cs="Miriam"/>
          <w:szCs w:val="24"/>
          <w:rtl/>
        </w:rPr>
        <w:t xml:space="preserve">שיקוף חומרת מעשהו של המזיק מחייבת פיצויים עונשיים מובחנים עבור כל אחד ואחד מן הניזוקים - בין ישירים ובין עקיפים, </w:t>
      </w:r>
      <w:r>
        <w:rPr>
          <w:rFonts w:ascii="Miriam" w:hAnsi="Miriam" w:cs="Miriam"/>
          <w:b/>
          <w:bCs/>
          <w:szCs w:val="24"/>
          <w:u w:val="single"/>
          <w:rtl/>
        </w:rPr>
        <w:t>כך שמידת הנזק שנגרם להם תילקח כמובן בחשבון בקביעת שיעור הפיצוי</w:t>
      </w:r>
      <w:r>
        <w:rPr>
          <w:b/>
          <w:bCs/>
          <w:u w:val="single"/>
          <w:rtl/>
        </w:rPr>
        <w:t>"</w:t>
      </w:r>
      <w:r>
        <w:rPr>
          <w:rtl/>
        </w:rPr>
        <w:t xml:space="preserve"> (שם, פסקה 136)[ההדגשה הוספה, מ.א]. </w:t>
      </w:r>
    </w:p>
    <w:p w:rsidR="0047397E" w:rsidRDefault="0047397E" w:rsidP="0047397E">
      <w:pPr>
        <w:pStyle w:val="Ruller41"/>
        <w:rPr>
          <w:rtl/>
        </w:rPr>
      </w:pPr>
    </w:p>
    <w:p w:rsidR="0047397E" w:rsidRDefault="0047397E" w:rsidP="0047397E">
      <w:pPr>
        <w:pStyle w:val="Ruller41"/>
        <w:rPr>
          <w:rtl/>
        </w:rPr>
      </w:pPr>
      <w:r>
        <w:rPr>
          <w:rFonts w:hint="cs"/>
          <w:rtl/>
        </w:rPr>
        <w:t>93.</w:t>
      </w:r>
      <w:r>
        <w:rPr>
          <w:rFonts w:hint="cs"/>
          <w:rtl/>
        </w:rPr>
        <w:tab/>
      </w:r>
      <w:r>
        <w:rPr>
          <w:rtl/>
        </w:rPr>
        <w:t xml:space="preserve">לסיכום סוגיה זו, וכפי שציינתי בעניין </w:t>
      </w:r>
      <w:r w:rsidRPr="00BE6766">
        <w:rPr>
          <w:rFonts w:ascii="Miriam" w:hAnsi="Miriam" w:cs="Miriam"/>
          <w:sz w:val="24"/>
          <w:szCs w:val="24"/>
          <w:rtl/>
        </w:rPr>
        <w:t>פלונית - מחוזי</w:t>
      </w:r>
      <w:r>
        <w:rPr>
          <w:rtl/>
        </w:rPr>
        <w:t xml:space="preserve"> </w:t>
      </w:r>
      <w:r>
        <w:rPr>
          <w:rFonts w:hint="cs"/>
          <w:rtl/>
        </w:rPr>
        <w:t xml:space="preserve">(על כך חזרתי גם בפסק דיני בתא 2287-00 </w:t>
      </w:r>
      <w:r w:rsidRPr="00D37325">
        <w:rPr>
          <w:rFonts w:ascii="Miriam" w:hAnsi="Miriam" w:cs="Miriam"/>
          <w:sz w:val="24"/>
          <w:szCs w:val="24"/>
          <w:rtl/>
        </w:rPr>
        <w:t>צ'סר נ' הארגון לשחרור פלסטין</w:t>
      </w:r>
      <w:r>
        <w:rPr>
          <w:rFonts w:hint="cs"/>
          <w:rtl/>
        </w:rPr>
        <w:t xml:space="preserve">, פסקאות 73-80 (21.7.2021)), </w:t>
      </w:r>
      <w:r>
        <w:rPr>
          <w:rtl/>
        </w:rPr>
        <w:t xml:space="preserve">וכעולה גם מעניין </w:t>
      </w:r>
      <w:r>
        <w:rPr>
          <w:rFonts w:ascii="Miriam" w:hAnsi="Miriam" w:cs="Miriam"/>
          <w:sz w:val="24"/>
          <w:szCs w:val="24"/>
          <w:rtl/>
        </w:rPr>
        <w:t>בן שלום</w:t>
      </w:r>
      <w:r>
        <w:rPr>
          <w:rtl/>
        </w:rPr>
        <w:t xml:space="preserve"> </w:t>
      </w:r>
      <w:r>
        <w:rPr>
          <w:rFonts w:hint="cs"/>
          <w:rtl/>
        </w:rPr>
        <w:t xml:space="preserve">ומעניין </w:t>
      </w:r>
      <w:r w:rsidRPr="00D25EAC">
        <w:rPr>
          <w:rFonts w:ascii="Miriam" w:hAnsi="Miriam" w:cs="Miriam"/>
          <w:sz w:val="24"/>
          <w:szCs w:val="24"/>
          <w:rtl/>
        </w:rPr>
        <w:t>פלונית</w:t>
      </w:r>
      <w:r>
        <w:rPr>
          <w:rFonts w:hint="cs"/>
          <w:rtl/>
        </w:rPr>
        <w:t xml:space="preserve">, </w:t>
      </w:r>
      <w:r>
        <w:rPr>
          <w:rtl/>
        </w:rPr>
        <w:t xml:space="preserve">יש לקחת בחשבון את </w:t>
      </w:r>
      <w:r w:rsidRPr="00AE4B7C">
        <w:rPr>
          <w:rFonts w:ascii="Miriam" w:hAnsi="Miriam" w:cs="Miriam"/>
          <w:sz w:val="24"/>
          <w:szCs w:val="24"/>
          <w:rtl/>
        </w:rPr>
        <w:t>אופי הפגיעה וחומרתה</w:t>
      </w:r>
      <w:r>
        <w:rPr>
          <w:rtl/>
        </w:rPr>
        <w:t xml:space="preserve"> בעת פסיקת פיצוי עונשי ושיעורו. </w:t>
      </w:r>
    </w:p>
    <w:p w:rsidR="0047397E" w:rsidRDefault="0047397E" w:rsidP="0047397E">
      <w:pPr>
        <w:pStyle w:val="Ruller41"/>
        <w:rPr>
          <w:rtl/>
        </w:rPr>
      </w:pPr>
    </w:p>
    <w:p w:rsidR="0047397E" w:rsidRDefault="0047397E" w:rsidP="0047397E">
      <w:pPr>
        <w:pStyle w:val="Ruller4"/>
        <w:numPr>
          <w:ilvl w:val="0"/>
          <w:numId w:val="27"/>
        </w:numPr>
        <w:tabs>
          <w:tab w:val="clear" w:pos="800"/>
        </w:tabs>
        <w:ind w:left="0" w:firstLine="0"/>
        <w:textAlignment w:val="auto"/>
        <w:rPr>
          <w:rtl/>
        </w:rPr>
      </w:pPr>
      <w:r>
        <w:rPr>
          <w:rFonts w:hint="cs"/>
          <w:rtl/>
        </w:rPr>
        <w:t>אכן כפי שציינה הרש"פ בסיכומיה, ה</w:t>
      </w:r>
      <w:r>
        <w:rPr>
          <w:rtl/>
        </w:rPr>
        <w:t xml:space="preserve">מקרים שבהם נפסקו עד כה בישראל פיצויים עונשיים עקב מעשי טרור, הסבו כולם תוצאות קטלניות (ראו עניין </w:t>
      </w:r>
      <w:r w:rsidRPr="00B0205F">
        <w:rPr>
          <w:rFonts w:ascii="Miriam" w:hAnsi="Miriam" w:cs="Miriam"/>
          <w:szCs w:val="24"/>
          <w:rtl/>
        </w:rPr>
        <w:t>מנטין</w:t>
      </w:r>
      <w:r>
        <w:rPr>
          <w:rtl/>
        </w:rPr>
        <w:t xml:space="preserve"> ועניין </w:t>
      </w:r>
      <w:r w:rsidRPr="00B0205F">
        <w:rPr>
          <w:rFonts w:ascii="Miriam" w:hAnsi="Miriam" w:cs="Miriam"/>
          <w:szCs w:val="24"/>
          <w:rtl/>
        </w:rPr>
        <w:t>בן שלום</w:t>
      </w:r>
      <w:r>
        <w:rPr>
          <w:rFonts w:hint="cs"/>
          <w:rtl/>
        </w:rPr>
        <w:t>)</w:t>
      </w:r>
      <w:r>
        <w:rPr>
          <w:rtl/>
        </w:rPr>
        <w:t xml:space="preserve">. יוער </w:t>
      </w:r>
      <w:r>
        <w:rPr>
          <w:rFonts w:hint="cs"/>
          <w:rtl/>
        </w:rPr>
        <w:t xml:space="preserve">כי </w:t>
      </w:r>
      <w:r>
        <w:rPr>
          <w:rtl/>
        </w:rPr>
        <w:t xml:space="preserve">בעניין </w:t>
      </w:r>
      <w:r w:rsidRPr="00B0205F">
        <w:rPr>
          <w:rFonts w:ascii="Miriam" w:hAnsi="Miriam" w:cs="Miriam"/>
          <w:szCs w:val="24"/>
          <w:rtl/>
        </w:rPr>
        <w:t>בן שלום</w:t>
      </w:r>
      <w:r>
        <w:rPr>
          <w:rtl/>
        </w:rPr>
        <w:t xml:space="preserve"> הגם שנפסקו פיצויים עונשיים לשתי היתומות שנפצעו בפיגוע מרסיסים</w:t>
      </w:r>
      <w:r>
        <w:rPr>
          <w:rFonts w:hint="cs"/>
          <w:rtl/>
        </w:rPr>
        <w:t xml:space="preserve">, בשיעור של  מיליון </w:t>
      </w:r>
      <w:r>
        <w:rPr>
          <w:rFonts w:hint="eastAsia"/>
          <w:rtl/>
        </w:rPr>
        <w:t>₪</w:t>
      </w:r>
      <w:r>
        <w:rPr>
          <w:rFonts w:hint="cs"/>
          <w:rtl/>
        </w:rPr>
        <w:t xml:space="preserve"> לכל אחת</w:t>
      </w:r>
      <w:r>
        <w:rPr>
          <w:rtl/>
        </w:rPr>
        <w:t>, הנזק שנגרם להן כתוצאה ממעשי המעוולים לא התבטא רק בפציעה (שלכאורה לא ה</w:t>
      </w:r>
      <w:r>
        <w:rPr>
          <w:rFonts w:hint="cs"/>
          <w:rtl/>
        </w:rPr>
        <w:t>י</w:t>
      </w:r>
      <w:r>
        <w:rPr>
          <w:rtl/>
        </w:rPr>
        <w:t xml:space="preserve">יתה חמורה) אלא בעיקר </w:t>
      </w:r>
      <w:r>
        <w:rPr>
          <w:rFonts w:hint="cs"/>
          <w:rtl/>
        </w:rPr>
        <w:t>באבדן האם והאב</w:t>
      </w:r>
      <w:r>
        <w:rPr>
          <w:rtl/>
        </w:rPr>
        <w:t xml:space="preserve">, תוצאה קטלנית ומזעזעת </w:t>
      </w:r>
      <w:r>
        <w:rPr>
          <w:rFonts w:hint="cs"/>
          <w:rtl/>
        </w:rPr>
        <w:t xml:space="preserve">המחייבת פיצוי </w:t>
      </w:r>
      <w:r>
        <w:rPr>
          <w:rtl/>
        </w:rPr>
        <w:t>עונשי</w:t>
      </w:r>
      <w:r>
        <w:rPr>
          <w:rFonts w:hint="cs"/>
          <w:rtl/>
        </w:rPr>
        <w:t xml:space="preserve"> משמעותי כפי שאכן שנפסק</w:t>
      </w:r>
      <w:r>
        <w:rPr>
          <w:rtl/>
        </w:rPr>
        <w:t xml:space="preserve">. </w:t>
      </w:r>
    </w:p>
    <w:p w:rsidR="0047397E" w:rsidRDefault="0047397E" w:rsidP="0047397E">
      <w:pPr>
        <w:pStyle w:val="Ruller41"/>
        <w:rPr>
          <w:rtl/>
        </w:rPr>
      </w:pPr>
    </w:p>
    <w:p w:rsidR="0047397E" w:rsidRDefault="0047397E" w:rsidP="0047397E">
      <w:pPr>
        <w:pStyle w:val="Ruller41"/>
        <w:rPr>
          <w:rtl/>
        </w:rPr>
      </w:pPr>
      <w:r>
        <w:rPr>
          <w:rFonts w:hint="cs"/>
          <w:rtl/>
        </w:rPr>
        <w:t>95.</w:t>
      </w:r>
      <w:r>
        <w:rPr>
          <w:rFonts w:hint="cs"/>
          <w:rtl/>
        </w:rPr>
        <w:tab/>
        <w:t xml:space="preserve">למרבה המזל, המעשים הקשים שבצעה הרש"פ בתובע לא הביאו לתוצאה קטלנית. אולם אין בכך כדי לשלול פסיקת פיצוי עונשי, אלא יש להתחשב בכך בעת  קביעת </w:t>
      </w:r>
      <w:r w:rsidRPr="00E91C51">
        <w:rPr>
          <w:rFonts w:hint="cs"/>
          <w:b/>
          <w:bCs/>
          <w:u w:val="single"/>
          <w:rtl/>
        </w:rPr>
        <w:t>גובה</w:t>
      </w:r>
      <w:r>
        <w:rPr>
          <w:rFonts w:hint="cs"/>
          <w:rtl/>
        </w:rPr>
        <w:t xml:space="preserve"> הפיצוי העונשי. בענייננו, נגרמה לתובע נכות צמיתה בשיעור של 15%. מדובר בנכות שאינה זניחה כלל. כבר נפסק בעניין </w:t>
      </w:r>
      <w:r w:rsidRPr="00D25EAC">
        <w:rPr>
          <w:rFonts w:ascii="Miriam" w:hAnsi="Miriam" w:cs="Miriam"/>
          <w:szCs w:val="24"/>
          <w:rtl/>
        </w:rPr>
        <w:t>פלונית</w:t>
      </w:r>
      <w:r>
        <w:rPr>
          <w:rFonts w:hint="cs"/>
          <w:rtl/>
        </w:rPr>
        <w:t xml:space="preserve">, שגם כאשר המעשה גורם לנכות צמיתה בשיעור של 10% בלבד, ניתן לפסוק פיצוי עונשי. בעניין </w:t>
      </w:r>
      <w:r w:rsidRPr="00E91C51">
        <w:rPr>
          <w:rFonts w:ascii="Miriam" w:hAnsi="Miriam" w:cs="Miriam"/>
          <w:szCs w:val="24"/>
          <w:rtl/>
        </w:rPr>
        <w:t>פלונית</w:t>
      </w:r>
      <w:r>
        <w:rPr>
          <w:rFonts w:hint="cs"/>
          <w:rtl/>
        </w:rPr>
        <w:t xml:space="preserve"> בוצעו עבירות מין חמורות ומזעזעות מאוד במשך שבוע ימים (כולל אינוס ומעשי סדום) כלפי </w:t>
      </w:r>
      <w:r>
        <w:rPr>
          <w:rFonts w:hint="cs"/>
          <w:rtl/>
        </w:rPr>
        <w:lastRenderedPageBreak/>
        <w:t>קטינה, תוך ניצול מוגבלותה על ידי מספר רב של מזיקים. על המזיקים הושתו עונשים שונים במסגרת ההליך הפלילי שנוהל נגדם. בית המשפט העליון היה כמובן ער לכך ש"</w:t>
      </w:r>
      <w:r w:rsidRPr="00D25EAC">
        <w:rPr>
          <w:rFonts w:ascii="Miriam" w:hAnsi="Miriam" w:cs="Miriam"/>
          <w:szCs w:val="24"/>
          <w:rtl/>
        </w:rPr>
        <w:t>מקום שבו הושתה סנקציה פלילית, פסיקת פיצויים עונשיים תהיה במקרים חריגים שבחריגים</w:t>
      </w:r>
      <w:r>
        <w:rPr>
          <w:rFonts w:hint="cs"/>
          <w:rtl/>
        </w:rPr>
        <w:t xml:space="preserve">" (עניין </w:t>
      </w:r>
      <w:r w:rsidRPr="00E91C51">
        <w:rPr>
          <w:rFonts w:ascii="Miriam" w:hAnsi="Miriam" w:cs="Miriam"/>
          <w:szCs w:val="24"/>
          <w:rtl/>
        </w:rPr>
        <w:t>פלונית</w:t>
      </w:r>
      <w:r>
        <w:rPr>
          <w:rFonts w:hint="cs"/>
          <w:rtl/>
        </w:rPr>
        <w:t xml:space="preserve">, פסקה 12 לפסק דינו של כב' השופט </w:t>
      </w:r>
      <w:r w:rsidRPr="00E91C51">
        <w:rPr>
          <w:rFonts w:ascii="Miriam" w:hAnsi="Miriam" w:cs="Miriam"/>
          <w:szCs w:val="24"/>
          <w:rtl/>
        </w:rPr>
        <w:t>י'</w:t>
      </w:r>
      <w:r>
        <w:rPr>
          <w:rFonts w:ascii="Miriam" w:hAnsi="Miriam" w:cs="Miriam" w:hint="cs"/>
          <w:szCs w:val="24"/>
          <w:rtl/>
        </w:rPr>
        <w:t xml:space="preserve"> </w:t>
      </w:r>
      <w:r w:rsidRPr="00E91C51">
        <w:rPr>
          <w:rFonts w:ascii="Miriam" w:hAnsi="Miriam" w:cs="Miriam"/>
          <w:szCs w:val="24"/>
          <w:rtl/>
        </w:rPr>
        <w:t>עמית</w:t>
      </w:r>
      <w:r>
        <w:rPr>
          <w:rFonts w:hint="cs"/>
          <w:rtl/>
        </w:rPr>
        <w:t>), אך נוכח חריגותו של המקרה, אישר את סכום הפיצוי שפסק בית המשפט המחוזי לנפגעת שנגרם לה נזק נפשי בשיעור של 10% בלבד, בסך 600,000 ₪ תוך שהוא מציין כי סכום זה "</w:t>
      </w:r>
      <w:r w:rsidRPr="007F3DDA">
        <w:rPr>
          <w:rFonts w:ascii="Miriam" w:hAnsi="Miriam" w:cs="Miriam"/>
          <w:sz w:val="24"/>
          <w:szCs w:val="24"/>
          <w:rtl/>
        </w:rPr>
        <w:t>משקף במידת מה פיצוי עונשי"</w:t>
      </w:r>
      <w:r>
        <w:rPr>
          <w:rFonts w:hint="cs"/>
          <w:rtl/>
        </w:rPr>
        <w:t xml:space="preserve">(עניין </w:t>
      </w:r>
      <w:r w:rsidRPr="00D25EAC">
        <w:rPr>
          <w:rFonts w:ascii="Miriam" w:hAnsi="Miriam" w:cs="Miriam"/>
          <w:szCs w:val="24"/>
          <w:rtl/>
        </w:rPr>
        <w:t>פלונית</w:t>
      </w:r>
      <w:r>
        <w:rPr>
          <w:rFonts w:hint="cs"/>
          <w:rtl/>
        </w:rPr>
        <w:t xml:space="preserve">, פסקה 12 לפסק דינו של כב' השופט </w:t>
      </w:r>
      <w:r w:rsidRPr="00E91C51">
        <w:rPr>
          <w:rFonts w:ascii="Miriam" w:hAnsi="Miriam" w:cs="Miriam"/>
          <w:szCs w:val="24"/>
          <w:rtl/>
        </w:rPr>
        <w:t>י' עמית</w:t>
      </w:r>
      <w:r>
        <w:rPr>
          <w:rFonts w:hint="cs"/>
          <w:rtl/>
        </w:rPr>
        <w:t xml:space="preserve">, וכן פסק דינו של כב' השופט </w:t>
      </w:r>
      <w:r w:rsidRPr="007F3DDA">
        <w:rPr>
          <w:rFonts w:ascii="Miriam" w:hAnsi="Miriam" w:cs="Miriam"/>
          <w:sz w:val="24"/>
          <w:szCs w:val="24"/>
          <w:rtl/>
        </w:rPr>
        <w:t>ש' שוחט</w:t>
      </w:r>
      <w:r>
        <w:rPr>
          <w:rFonts w:hint="cs"/>
          <w:rtl/>
        </w:rPr>
        <w:t xml:space="preserve"> שציין אף הוא כי הסכום שנפסק "</w:t>
      </w:r>
      <w:r w:rsidRPr="007F3DDA">
        <w:rPr>
          <w:rFonts w:ascii="Miriam" w:hAnsi="Miriam" w:cs="Miriam"/>
          <w:sz w:val="24"/>
          <w:szCs w:val="24"/>
          <w:rtl/>
        </w:rPr>
        <w:t>מבטא במידה מסויימת ...אלמנט עונשי</w:t>
      </w:r>
      <w:r>
        <w:rPr>
          <w:rFonts w:hint="cs"/>
          <w:rtl/>
        </w:rPr>
        <w:t xml:space="preserve">". וראו גם פסקה 7 פסק דינו של כב' השופט </w:t>
      </w:r>
      <w:r w:rsidRPr="00E91C51">
        <w:rPr>
          <w:rFonts w:ascii="Miriam" w:hAnsi="Miriam" w:cs="Miriam"/>
          <w:szCs w:val="24"/>
          <w:rtl/>
        </w:rPr>
        <w:t>י' מינץ</w:t>
      </w:r>
      <w:r>
        <w:rPr>
          <w:rFonts w:ascii="Miriam" w:hAnsi="Miriam" w:cs="Miriam" w:hint="cs"/>
          <w:szCs w:val="24"/>
          <w:rtl/>
        </w:rPr>
        <w:t xml:space="preserve">  </w:t>
      </w:r>
      <w:r>
        <w:rPr>
          <w:rFonts w:hint="cs"/>
          <w:rtl/>
        </w:rPr>
        <w:t>שאישר את סכום הפיצוי "</w:t>
      </w:r>
      <w:r w:rsidRPr="007F3DDA">
        <w:rPr>
          <w:rFonts w:ascii="Miriam" w:hAnsi="Miriam" w:cs="Miriam"/>
          <w:sz w:val="24"/>
          <w:szCs w:val="24"/>
          <w:rtl/>
        </w:rPr>
        <w:t>בין אם יסווג כפיצוי נזיקי ובין אם יסווג כפיצוי עונשי</w:t>
      </w:r>
      <w:r>
        <w:rPr>
          <w:rFonts w:hint="cs"/>
          <w:rtl/>
        </w:rPr>
        <w:t xml:space="preserve">"). </w:t>
      </w:r>
    </w:p>
    <w:p w:rsidR="0047397E" w:rsidRDefault="0047397E" w:rsidP="0047397E">
      <w:pPr>
        <w:pStyle w:val="Ruller41"/>
        <w:rPr>
          <w:rtl/>
        </w:rPr>
      </w:pPr>
    </w:p>
    <w:p w:rsidR="0047397E" w:rsidRDefault="0047397E" w:rsidP="0047397E">
      <w:pPr>
        <w:pStyle w:val="Ruller41"/>
        <w:tabs>
          <w:tab w:val="clear" w:pos="800"/>
        </w:tabs>
      </w:pPr>
      <w:r w:rsidRPr="006A1E05">
        <w:rPr>
          <w:rFonts w:hint="cs"/>
          <w:rtl/>
        </w:rPr>
        <w:t>96.</w:t>
      </w:r>
      <w:r>
        <w:rPr>
          <w:rtl/>
        </w:rPr>
        <w:tab/>
      </w:r>
      <w:r>
        <w:rPr>
          <w:rFonts w:hint="cs"/>
          <w:rtl/>
        </w:rPr>
        <w:t xml:space="preserve">יובהר מיד, יש לבחון כל מקרה לגופו ובהתאם לנסיבותיו. יש לבחון את משך הפגיעה, בענייננו 7 שנים, לעומת עניין </w:t>
      </w:r>
      <w:r w:rsidRPr="00E91C51">
        <w:rPr>
          <w:rFonts w:ascii="Miriam" w:hAnsi="Miriam" w:cs="Miriam"/>
          <w:szCs w:val="24"/>
          <w:rtl/>
        </w:rPr>
        <w:t>פלונית</w:t>
      </w:r>
      <w:r>
        <w:rPr>
          <w:rFonts w:hint="cs"/>
          <w:rtl/>
        </w:rPr>
        <w:t xml:space="preserve"> שבו המעשים בוצעו במשך שבוע ימים. כן יש לבחון את אופי הפגיעה שהוא חמור במיוחד כאשר מדובר בפגיעה מינית קשה ביותר בקטינה עם מוגבלות. הבדל נוסף נעוץ בכך שבעניין </w:t>
      </w:r>
      <w:r w:rsidRPr="00E91C51">
        <w:rPr>
          <w:rFonts w:ascii="Miriam" w:hAnsi="Miriam" w:cs="Miriam"/>
          <w:szCs w:val="24"/>
          <w:rtl/>
        </w:rPr>
        <w:t>פלונית</w:t>
      </w:r>
      <w:r>
        <w:rPr>
          <w:rFonts w:hint="cs"/>
          <w:rtl/>
        </w:rPr>
        <w:t xml:space="preserve">, הושתו על המזיקים גם סנקציות פליליות במסגרת ההליך הפלילי מה שאין כן בענייננו. יחד עם זאת מצאתי לנכון להציג את עניין </w:t>
      </w:r>
      <w:r w:rsidRPr="00AE4B7C">
        <w:rPr>
          <w:rFonts w:ascii="Miriam" w:hAnsi="Miriam" w:cs="Miriam"/>
          <w:szCs w:val="24"/>
          <w:rtl/>
        </w:rPr>
        <w:t>פלונית</w:t>
      </w:r>
      <w:r>
        <w:rPr>
          <w:rFonts w:hint="cs"/>
          <w:rtl/>
        </w:rPr>
        <w:t xml:space="preserve"> על מנת להראות שבניגוד לטענות הרש"פ, ניתן לפסוק פיצוי עונשי גם בנסיבות שבהן התוצאה איננה קטלנית אך הביאה לנכות בשיעור של 10%. בענייננו, כאשר הנזק הוא בשיעור של 15%, ועל אחת כמה וכמה כאשר המזיק לא הועמד לדין פלילי - יש  לפסוק פיצוי עונשי. העובדה שלמרבה המזל המעשים לא גרמו לנזק חמור, תילקח בחשבון בעת קביעת שיעור הפיצוי.   </w:t>
      </w:r>
    </w:p>
    <w:p w:rsidR="0047397E" w:rsidRDefault="0047397E" w:rsidP="0047397E">
      <w:pPr>
        <w:pStyle w:val="Ruller4"/>
        <w:numPr>
          <w:ilvl w:val="0"/>
          <w:numId w:val="0"/>
        </w:numPr>
        <w:tabs>
          <w:tab w:val="clear" w:pos="800"/>
          <w:tab w:val="left" w:pos="186"/>
        </w:tabs>
        <w:textAlignment w:val="auto"/>
        <w:rPr>
          <w:rtl/>
        </w:rPr>
      </w:pPr>
    </w:p>
    <w:p w:rsidR="0047397E" w:rsidRDefault="0047397E" w:rsidP="0047397E">
      <w:pPr>
        <w:pStyle w:val="Ruller4"/>
        <w:numPr>
          <w:ilvl w:val="0"/>
          <w:numId w:val="0"/>
        </w:numPr>
        <w:tabs>
          <w:tab w:val="clear" w:pos="800"/>
          <w:tab w:val="left" w:pos="44"/>
        </w:tabs>
        <w:ind w:hanging="98"/>
        <w:textAlignment w:val="auto"/>
        <w:rPr>
          <w:b/>
          <w:bCs/>
          <w:u w:val="single"/>
          <w:rtl/>
        </w:rPr>
      </w:pPr>
      <w:r w:rsidRPr="00E91C51">
        <w:rPr>
          <w:rFonts w:hint="cs"/>
          <w:b/>
          <w:bCs/>
          <w:u w:val="single"/>
          <w:rtl/>
        </w:rPr>
        <w:t>שיעור הפיצוי העונשי</w:t>
      </w:r>
    </w:p>
    <w:p w:rsidR="0047397E" w:rsidRDefault="0047397E" w:rsidP="0047397E">
      <w:pPr>
        <w:pStyle w:val="Ruller41"/>
        <w:rPr>
          <w:rtl/>
        </w:rPr>
      </w:pPr>
    </w:p>
    <w:p w:rsidR="0047397E" w:rsidRDefault="0047397E" w:rsidP="0047397E">
      <w:pPr>
        <w:pStyle w:val="Ruller41"/>
        <w:rPr>
          <w:b/>
          <w:bCs/>
          <w:rtl/>
        </w:rPr>
      </w:pPr>
      <w:r>
        <w:rPr>
          <w:rFonts w:hint="cs"/>
          <w:rtl/>
        </w:rPr>
        <w:t>97.</w:t>
      </w:r>
      <w:r>
        <w:rPr>
          <w:rFonts w:hint="cs"/>
          <w:rtl/>
        </w:rPr>
        <w:tab/>
        <w:t xml:space="preserve">בעניין </w:t>
      </w:r>
      <w:r w:rsidRPr="00BE6766">
        <w:rPr>
          <w:rFonts w:ascii="Miriam" w:hAnsi="Miriam" w:cs="Miriam"/>
          <w:sz w:val="24"/>
          <w:szCs w:val="24"/>
          <w:rtl/>
        </w:rPr>
        <w:t>פלונית - מחוזי</w:t>
      </w:r>
      <w:r>
        <w:rPr>
          <w:rFonts w:hint="cs"/>
          <w:rtl/>
        </w:rPr>
        <w:t xml:space="preserve"> פרטתי בהרחבה אודות שיעור הפיצוי העונשי שנפסק בארצות הברית לנפגעי טרור וציינתי כי גישת "מכפלת הפיצוי התרופתי" לשם חישוב הפיצוי העונשי (בדרך כלל פי 3), הינה גישה רווחת שיושמה במקרים רבים בארצות הברית (פסקאות 65-63). פסיקת פיצויים עונשיים בסכום של פי שלוש מדמי הפיצוי </w:t>
      </w:r>
      <w:r>
        <w:rPr>
          <w:rFonts w:hint="cs"/>
          <w:rtl/>
        </w:rPr>
        <w:lastRenderedPageBreak/>
        <w:t>התרופתי עוגנה גם בחקיקה מיוחדת לנפגעי טרור</w:t>
      </w:r>
      <w:r w:rsidRPr="008644DE">
        <w:rPr>
          <w:rFonts w:hint="cs"/>
          <w:b/>
          <w:bCs/>
          <w:rtl/>
        </w:rPr>
        <w:t xml:space="preserve"> ((</w:t>
      </w:r>
      <w:r w:rsidRPr="008644DE">
        <w:rPr>
          <w:b/>
          <w:bCs/>
        </w:rPr>
        <w:t>Antiterrorism Act, 18 USC sec. 2333(a</w:t>
      </w:r>
      <w:r w:rsidRPr="008644DE">
        <w:rPr>
          <w:rFonts w:hint="cs"/>
          <w:b/>
          <w:bCs/>
          <w:rtl/>
        </w:rPr>
        <w:t xml:space="preserve">).  </w:t>
      </w:r>
    </w:p>
    <w:p w:rsidR="0047397E" w:rsidRDefault="0047397E" w:rsidP="0047397E">
      <w:pPr>
        <w:pStyle w:val="Ruller41"/>
        <w:rPr>
          <w:b/>
          <w:bCs/>
          <w:rtl/>
        </w:rPr>
      </w:pPr>
    </w:p>
    <w:p w:rsidR="0047397E" w:rsidRDefault="0047397E" w:rsidP="0047397E">
      <w:pPr>
        <w:pStyle w:val="Ruller41"/>
        <w:rPr>
          <w:rtl/>
        </w:rPr>
      </w:pPr>
      <w:r w:rsidRPr="00A15168">
        <w:rPr>
          <w:rFonts w:hint="cs"/>
          <w:rtl/>
        </w:rPr>
        <w:t>98</w:t>
      </w:r>
      <w:r>
        <w:rPr>
          <w:rFonts w:hint="cs"/>
          <w:b/>
          <w:bCs/>
          <w:rtl/>
        </w:rPr>
        <w:t>.</w:t>
      </w:r>
      <w:r>
        <w:rPr>
          <w:rFonts w:hint="cs"/>
          <w:b/>
          <w:bCs/>
          <w:rtl/>
        </w:rPr>
        <w:tab/>
      </w:r>
      <w:r>
        <w:rPr>
          <w:rFonts w:hint="cs"/>
          <w:rtl/>
        </w:rPr>
        <w:t>בית המשפט העליון בישראל לא קיבל את גישת מכפלת הפיצוי התרופתי לשם חישוב שיעור הפיצוי העונשי, והעדיף לשמור על "</w:t>
      </w:r>
      <w:r w:rsidRPr="00E91C51">
        <w:rPr>
          <w:rFonts w:ascii="Miriam" w:hAnsi="Miriam" w:cs="Miriam"/>
          <w:sz w:val="24"/>
          <w:szCs w:val="24"/>
          <w:rtl/>
        </w:rPr>
        <w:t>אחידות</w:t>
      </w:r>
      <w:r>
        <w:rPr>
          <w:rFonts w:hint="cs"/>
          <w:rtl/>
        </w:rPr>
        <w:t>", "</w:t>
      </w:r>
      <w:r w:rsidRPr="00E91C51">
        <w:rPr>
          <w:rFonts w:ascii="Miriam" w:hAnsi="Miriam" w:cs="Miriam"/>
          <w:sz w:val="24"/>
          <w:szCs w:val="24"/>
          <w:rtl/>
        </w:rPr>
        <w:t>יעילות מערכתית</w:t>
      </w:r>
      <w:r>
        <w:rPr>
          <w:rFonts w:hint="cs"/>
          <w:rtl/>
        </w:rPr>
        <w:t>" ו"</w:t>
      </w:r>
      <w:r w:rsidRPr="00E91C51">
        <w:rPr>
          <w:rFonts w:ascii="Miriam" w:hAnsi="Miriam" w:cs="Miriam"/>
          <w:sz w:val="24"/>
          <w:szCs w:val="24"/>
          <w:rtl/>
        </w:rPr>
        <w:t>שיוויון בין הניזוקים</w:t>
      </w:r>
      <w:r>
        <w:rPr>
          <w:rFonts w:hint="cs"/>
          <w:rtl/>
        </w:rPr>
        <w:t xml:space="preserve">"(עניין </w:t>
      </w:r>
      <w:r w:rsidRPr="00E91C51">
        <w:rPr>
          <w:rFonts w:ascii="Miriam" w:hAnsi="Miriam" w:cs="Miriam"/>
          <w:sz w:val="24"/>
          <w:szCs w:val="24"/>
          <w:rtl/>
        </w:rPr>
        <w:t>בן שלום</w:t>
      </w:r>
      <w:r>
        <w:rPr>
          <w:rFonts w:hint="cs"/>
          <w:rtl/>
        </w:rPr>
        <w:t>, פסקה 139) . בית המשפט העליון היה ער לכך ש"</w:t>
      </w:r>
      <w:r w:rsidRPr="00E91C51">
        <w:rPr>
          <w:rFonts w:ascii="Miriam" w:hAnsi="Miriam" w:cs="Miriam"/>
          <w:sz w:val="24"/>
          <w:szCs w:val="24"/>
          <w:rtl/>
        </w:rPr>
        <w:t>אחידות מעין זו עלולה אמנם להתנגש לעתים עם טיבו האינדיו</w:t>
      </w:r>
      <w:r>
        <w:rPr>
          <w:rFonts w:ascii="Miriam" w:hAnsi="Miriam" w:cs="Miriam" w:hint="cs"/>
          <w:sz w:val="24"/>
          <w:szCs w:val="24"/>
          <w:rtl/>
        </w:rPr>
        <w:t>ו</w:t>
      </w:r>
      <w:r w:rsidRPr="00E91C51">
        <w:rPr>
          <w:rFonts w:ascii="Miriam" w:hAnsi="Miriam" w:cs="Miriam"/>
          <w:sz w:val="24"/>
          <w:szCs w:val="24"/>
          <w:rtl/>
        </w:rPr>
        <w:t>ידואלי של הפיצוי הנזיקי</w:t>
      </w:r>
      <w:r>
        <w:rPr>
          <w:rFonts w:hint="cs"/>
          <w:rtl/>
        </w:rPr>
        <w:t>" אך סבר "</w:t>
      </w:r>
      <w:r w:rsidRPr="00E91C51">
        <w:rPr>
          <w:rFonts w:ascii="Miriam" w:hAnsi="Miriam" w:cs="Miriam"/>
          <w:sz w:val="24"/>
          <w:szCs w:val="24"/>
          <w:rtl/>
        </w:rPr>
        <w:t>כי יש לשאוף אליה בכל הנוגע לפיצויים עונשיים תוך התאמה לנסיבות הקונקרטיות, ובין היתר, לחומ</w:t>
      </w:r>
      <w:r>
        <w:rPr>
          <w:rFonts w:ascii="Miriam" w:hAnsi="Miriam" w:cs="Miriam" w:hint="cs"/>
          <w:sz w:val="24"/>
          <w:szCs w:val="24"/>
          <w:rtl/>
        </w:rPr>
        <w:t>ר</w:t>
      </w:r>
      <w:r w:rsidRPr="00E91C51">
        <w:rPr>
          <w:rFonts w:ascii="Miriam" w:hAnsi="Miriam" w:cs="Miriam"/>
          <w:sz w:val="24"/>
          <w:szCs w:val="24"/>
          <w:rtl/>
        </w:rPr>
        <w:t>ת המעשה ולאשמת המזיק</w:t>
      </w:r>
      <w:r>
        <w:rPr>
          <w:rFonts w:hint="cs"/>
          <w:rtl/>
        </w:rPr>
        <w:t xml:space="preserve">" (שם, שם). כפועל יוצא, הן בעניין </w:t>
      </w:r>
      <w:r w:rsidRPr="00E91C51">
        <w:rPr>
          <w:rFonts w:ascii="Miriam" w:hAnsi="Miriam" w:cs="Miriam"/>
          <w:sz w:val="24"/>
          <w:szCs w:val="24"/>
          <w:rtl/>
        </w:rPr>
        <w:t>מנטין</w:t>
      </w:r>
      <w:r>
        <w:rPr>
          <w:rFonts w:hint="cs"/>
          <w:rtl/>
        </w:rPr>
        <w:t xml:space="preserve">, הן בעניין </w:t>
      </w:r>
      <w:r w:rsidRPr="00E91C51">
        <w:rPr>
          <w:rFonts w:ascii="Miriam" w:hAnsi="Miriam" w:cs="Miriam"/>
          <w:sz w:val="24"/>
          <w:szCs w:val="24"/>
          <w:rtl/>
        </w:rPr>
        <w:t>בן שלום</w:t>
      </w:r>
      <w:r>
        <w:rPr>
          <w:rFonts w:hint="cs"/>
          <w:rtl/>
        </w:rPr>
        <w:t xml:space="preserve"> והן בע"א 8828/20 </w:t>
      </w:r>
      <w:r w:rsidRPr="00E91C51">
        <w:rPr>
          <w:rFonts w:ascii="Miriam" w:hAnsi="Miriam" w:cs="Miriam"/>
          <w:sz w:val="24"/>
          <w:szCs w:val="24"/>
          <w:rtl/>
        </w:rPr>
        <w:t>הרשות הפלסטינית נ' פלונית ואח'</w:t>
      </w:r>
      <w:r>
        <w:rPr>
          <w:rFonts w:hint="cs"/>
          <w:rtl/>
        </w:rPr>
        <w:t xml:space="preserve">(6.6.2022)(שדן בערעור על עניין </w:t>
      </w:r>
      <w:r w:rsidRPr="00BE6766">
        <w:rPr>
          <w:rFonts w:ascii="Miriam" w:hAnsi="Miriam" w:cs="Miriam"/>
          <w:sz w:val="24"/>
          <w:szCs w:val="24"/>
          <w:rtl/>
        </w:rPr>
        <w:t>פלונית - מחוזי</w:t>
      </w:r>
      <w:r>
        <w:rPr>
          <w:rFonts w:hint="cs"/>
          <w:rtl/>
        </w:rPr>
        <w:t xml:space="preserve">) והן בע"א 7036/19 </w:t>
      </w:r>
      <w:r w:rsidRPr="00A072D1">
        <w:rPr>
          <w:rFonts w:ascii="Miriam" w:hAnsi="Miriam" w:cs="Miriam"/>
          <w:sz w:val="24"/>
          <w:szCs w:val="24"/>
          <w:rtl/>
        </w:rPr>
        <w:t>פלונים נ' עיסא</w:t>
      </w:r>
      <w:r>
        <w:rPr>
          <w:rFonts w:hint="cs"/>
          <w:rtl/>
        </w:rPr>
        <w:t xml:space="preserve"> (27.4.2022) - נפסקו פיצויים עונשיים בשיעור אחיד, בסך 3 מיליון ₪  לכל עיזבון, ללא קשר לגובה הפיצוי התרופתי שלו זכאים הניזוקים. עם זאת, כפי שצויין לעיל, בעניין </w:t>
      </w:r>
      <w:r w:rsidRPr="00BE6766">
        <w:rPr>
          <w:rFonts w:ascii="Miriam" w:hAnsi="Miriam" w:cs="Miriam"/>
          <w:sz w:val="24"/>
          <w:szCs w:val="24"/>
          <w:rtl/>
        </w:rPr>
        <w:t>בן שלום</w:t>
      </w:r>
      <w:r>
        <w:rPr>
          <w:rFonts w:ascii="Miriam" w:hAnsi="Miriam" w:cs="Miriam" w:hint="cs"/>
          <w:sz w:val="24"/>
          <w:szCs w:val="24"/>
          <w:rtl/>
        </w:rPr>
        <w:t>,</w:t>
      </w:r>
      <w:r>
        <w:rPr>
          <w:rFonts w:hint="cs"/>
          <w:rtl/>
        </w:rPr>
        <w:t xml:space="preserve"> נפסקו לבנות שהתייתמו באירוע הטרור, ואף נפצעו, פיצוי עונשי בסך מיליון ₪ לכל אחת. מכאן ברור שלמרות השאיפה לאחידות יש לתת את הדעת גם לטיב הפגיעה וחומרתה בעת קביעת גובה הפיצוי העונשי (וראו גם ת"א 2538/00 </w:t>
      </w:r>
      <w:r w:rsidRPr="00C46C05">
        <w:rPr>
          <w:rFonts w:ascii="Miriam" w:hAnsi="Miriam" w:cs="Miriam"/>
          <w:sz w:val="24"/>
          <w:szCs w:val="24"/>
          <w:rtl/>
        </w:rPr>
        <w:t>נורזץ' ואח' נ' הרשות הפלסטינית</w:t>
      </w:r>
      <w:r>
        <w:rPr>
          <w:rFonts w:hint="cs"/>
          <w:rtl/>
        </w:rPr>
        <w:t xml:space="preserve">, פסקה 73 (20.6.2022) שם נפסקו לנפגעת טרור שנותרה מרותקת לכסא גלגלים סך של 2 מיליון ₪). </w:t>
      </w:r>
    </w:p>
    <w:p w:rsidR="0047397E" w:rsidRDefault="0047397E" w:rsidP="0047397E">
      <w:pPr>
        <w:pStyle w:val="Ruller41"/>
        <w:rPr>
          <w:rtl/>
        </w:rPr>
      </w:pPr>
    </w:p>
    <w:p w:rsidR="0047397E" w:rsidRDefault="0047397E" w:rsidP="0047397E">
      <w:pPr>
        <w:pStyle w:val="Ruller41"/>
        <w:rPr>
          <w:rtl/>
        </w:rPr>
      </w:pPr>
      <w:r>
        <w:rPr>
          <w:rFonts w:hint="cs"/>
          <w:rtl/>
        </w:rPr>
        <w:t>99.</w:t>
      </w:r>
      <w:r>
        <w:rPr>
          <w:rFonts w:hint="cs"/>
          <w:rtl/>
        </w:rPr>
        <w:tab/>
        <w:t xml:space="preserve">התביעה דנן היא התביעה הראשונה שהגיעה לשלב הסיום, מבין קרוב ל- 70 תביעות שנדונות בפניי בימים אלה, נגד הרש"פ, עקב כליאת שווא ועינויים של תובעים שנחשדו בשיתוף פעולה עם ישראל. נוכח האחידות שיש לשאוף אליה בכל הנוגע לפיצוי עונשי, אני סבורה שיש לפסוק פיצוי עונשי זהה במרבית התביעות נגד הרש"פ בקשר לתביעות שווא ועינויים, אלא אם הנסיבות יהיו שונות באופן מהותי מנסיבות המקרה דנן. בהקשר זה יוער כי נכון להיום נבדקו עשרות תובעים על ידי המומחים מטעם בית המשפט בתחום הנפשי והאורתופדי ולכולם נקבעו נכויות דומות. בתחום הנפשי נקבעה לתובעים שנבדקו נכות צמיתה בטווח שבין 15%-30% (למעט מקרים בודדים של עד  50%) ובתחום האורתופדי לא נקבעה נכות צמיתה כלל (למעט מקרים בודדים של עד </w:t>
      </w:r>
      <w:r>
        <w:rPr>
          <w:rFonts w:hint="cs"/>
          <w:rtl/>
        </w:rPr>
        <w:lastRenderedPageBreak/>
        <w:t xml:space="preserve">5%). משך תקופת הכליאה שונה ממקרה למקרה אך במרבית המקרים תקופת הכליאה נעה בין שנה לשנתיים. יוער כי נוכח תקופת הכליאה הארוכה מאוד במקרה דנן ביחס ליתר התובעים, התלבטתי האם בנסיבות המקרה דנן נכון יהיה לפסוק פיצוי עונשי גבוה יותר מאשר ליתר התובעים. אולם בסופו של יום מצאתי לדבוק באחידות שאליה יש לשאוף בהתאם להנחיית בית המשפט העליון. לתקופת הכליאה ניתן ביטוי לעיל, בעת פסיקת הפיצוי בגין הנזק הלא ממוני ובגין אבדן החרות. לכן לתובע שבפניי שנכלא למשך 7 שנים, ולפלוני 2, שנכלא למשך 13 חודשים ראיתי לפסוק פיצויים עונשיים בשיעור זהה. לא למותר לציין כי גם התובע וגם פלוני 2, המיוצגים על ידי אותם עורכי דין, תבעו בסיכומיהם פיצוי עונשי זהה למרות תקופות המאסר השונות (ראו פסקה 275 לסיכומי התובע בתיק זה ופסקה 172 לסיכומי של פלוני 2). </w:t>
      </w:r>
    </w:p>
    <w:p w:rsidR="0047397E" w:rsidRDefault="0047397E" w:rsidP="0047397E">
      <w:pPr>
        <w:pStyle w:val="Ruller41"/>
        <w:rPr>
          <w:rtl/>
        </w:rPr>
      </w:pPr>
    </w:p>
    <w:p w:rsidR="0047397E" w:rsidRDefault="0047397E" w:rsidP="0047397E">
      <w:pPr>
        <w:pStyle w:val="Ruller41"/>
        <w:rPr>
          <w:rtl/>
        </w:rPr>
      </w:pPr>
      <w:r>
        <w:rPr>
          <w:rFonts w:hint="cs"/>
          <w:rtl/>
        </w:rPr>
        <w:t xml:space="preserve">100.      לעניין האחידות שיש לשאוף אליה בעת פסיקת פיצויים עונשיים, אפנה גם לפסק דין שניתן לאחרונה על ידי בית המשפט העליון  בע"א 7819/21 </w:t>
      </w:r>
      <w:r w:rsidRPr="00211E1A">
        <w:rPr>
          <w:rFonts w:ascii="Miriam" w:hAnsi="Miriam" w:cs="Miriam"/>
          <w:sz w:val="24"/>
          <w:szCs w:val="24"/>
          <w:rtl/>
        </w:rPr>
        <w:t xml:space="preserve">פלוני ו - 25 אח' נ' ארגון החמאס ואח' </w:t>
      </w:r>
      <w:r>
        <w:rPr>
          <w:rFonts w:hint="cs"/>
          <w:rtl/>
        </w:rPr>
        <w:t xml:space="preserve">(31.1.2023). כב' השופט </w:t>
      </w:r>
      <w:r w:rsidRPr="00211E1A">
        <w:rPr>
          <w:rFonts w:ascii="Miriam" w:hAnsi="Miriam" w:cs="Miriam"/>
          <w:sz w:val="24"/>
          <w:szCs w:val="24"/>
          <w:rtl/>
        </w:rPr>
        <w:t>י' עמית</w:t>
      </w:r>
      <w:r>
        <w:rPr>
          <w:rFonts w:hint="cs"/>
          <w:rtl/>
        </w:rPr>
        <w:t xml:space="preserve">, מתאר בפסק הדין את התלבטותו בשאלה האם ראוי לפסוק פיצוי עונשי בשיעור זהה נגד הרש"פ ונגד המפגע הישיר אף שמעשהו של האחרון חמור יותר, ומגיע למסקנה שיש להעדיף את האחידות. וכך מציין כב' השופט </w:t>
      </w:r>
      <w:r w:rsidRPr="00211E1A">
        <w:rPr>
          <w:rFonts w:ascii="Miriam" w:hAnsi="Miriam" w:cs="Miriam"/>
          <w:sz w:val="24"/>
          <w:szCs w:val="24"/>
          <w:rtl/>
        </w:rPr>
        <w:t>עמית</w:t>
      </w:r>
      <w:r>
        <w:rPr>
          <w:rFonts w:ascii="Miriam" w:hAnsi="Miriam" w:cs="Miriam" w:hint="cs"/>
          <w:sz w:val="24"/>
          <w:szCs w:val="24"/>
          <w:rtl/>
        </w:rPr>
        <w:t xml:space="preserve">: </w:t>
      </w:r>
      <w:r>
        <w:rPr>
          <w:rFonts w:hint="cs"/>
          <w:rtl/>
        </w:rPr>
        <w:t xml:space="preserve"> </w:t>
      </w:r>
    </w:p>
    <w:p w:rsidR="0047397E" w:rsidRDefault="0047397E" w:rsidP="0047397E">
      <w:pPr>
        <w:pStyle w:val="Ruller41"/>
        <w:rPr>
          <w:rtl/>
        </w:rPr>
      </w:pPr>
    </w:p>
    <w:p w:rsidR="0047397E" w:rsidRDefault="0047397E" w:rsidP="0047397E">
      <w:pPr>
        <w:pStyle w:val="Ruller41"/>
        <w:spacing w:line="276" w:lineRule="auto"/>
        <w:ind w:left="1320" w:right="1134"/>
        <w:rPr>
          <w:rtl/>
        </w:rPr>
      </w:pPr>
      <w:r>
        <w:rPr>
          <w:rFonts w:ascii="Century" w:hAnsi="Century" w:hint="cs"/>
          <w:rtl/>
        </w:rPr>
        <w:t xml:space="preserve">"לא אכחד כי חככתי בדעתי אם יש להגדיל את סכום הפיצוי העונשי שהושת במקרה דנן, שהרי כפי שציינתי בעבר "את </w:t>
      </w:r>
      <w:r>
        <w:rPr>
          <w:rFonts w:ascii="FrankRuehl" w:hAnsi="FrankRuehl"/>
          <w:color w:val="000000"/>
          <w:sz w:val="28"/>
          <w:rtl/>
        </w:rPr>
        <w:t>הפיצוי העונשי</w:t>
      </w:r>
      <w:r>
        <w:rPr>
          <w:rFonts w:ascii="FrankRuehl" w:hAnsi="FrankRuehl" w:hint="cs"/>
          <w:color w:val="000000"/>
          <w:sz w:val="28"/>
          <w:rtl/>
        </w:rPr>
        <w:t xml:space="preserve"> יש להטיל</w:t>
      </w:r>
      <w:r>
        <w:rPr>
          <w:rFonts w:ascii="FrankRuehl" w:hAnsi="FrankRuehl"/>
          <w:color w:val="000000"/>
          <w:sz w:val="28"/>
          <w:rtl/>
        </w:rPr>
        <w:t xml:space="preserve"> בראש ובראשונה על המעוול ב</w:t>
      </w:r>
      <w:r>
        <w:rPr>
          <w:rFonts w:ascii="FrankRuehl" w:hAnsi="FrankRuehl" w:hint="cs"/>
          <w:color w:val="000000"/>
          <w:sz w:val="28"/>
          <w:rtl/>
        </w:rPr>
        <w:t>'</w:t>
      </w:r>
      <w:r>
        <w:rPr>
          <w:rFonts w:ascii="FrankRuehl" w:hAnsi="FrankRuehl"/>
          <w:color w:val="000000"/>
          <w:sz w:val="28"/>
          <w:rtl/>
        </w:rPr>
        <w:t>מעגל הראשון</w:t>
      </w:r>
      <w:r>
        <w:rPr>
          <w:rFonts w:ascii="FrankRuehl" w:hAnsi="FrankRuehl" w:hint="cs"/>
          <w:color w:val="000000"/>
          <w:sz w:val="28"/>
          <w:rtl/>
        </w:rPr>
        <w:t>'</w:t>
      </w:r>
      <w:r>
        <w:rPr>
          <w:rFonts w:ascii="FrankRuehl" w:hAnsi="FrankRuehl"/>
          <w:color w:val="000000"/>
          <w:sz w:val="28"/>
          <w:rtl/>
        </w:rPr>
        <w:t xml:space="preserve"> של ביצוע העוולה</w:t>
      </w:r>
      <w:r>
        <w:rPr>
          <w:rFonts w:ascii="FrankRuehl" w:hAnsi="FrankRuehl"/>
          <w:color w:val="000000"/>
          <w:sz w:val="28"/>
        </w:rPr>
        <w:t>"</w:t>
      </w:r>
      <w:r>
        <w:rPr>
          <w:rFonts w:ascii="Century" w:hAnsi="Century" w:hint="cs"/>
          <w:rtl/>
        </w:rPr>
        <w:t xml:space="preserve"> (שם). ואולם, בסופו של יום לא מצאתי לשנות מקביעתו של בית המשפט המחוזי בנושא זה. זאת בהתחשב בכך </w:t>
      </w:r>
      <w:r>
        <w:rPr>
          <w:rFonts w:ascii="FrankRuehl" w:hAnsi="FrankRuehl" w:hint="cs"/>
          <w:color w:val="000000"/>
          <w:sz w:val="28"/>
          <w:rtl/>
        </w:rPr>
        <w:t>שעל שיעור הפיצוי</w:t>
      </w:r>
      <w:r>
        <w:rPr>
          <w:rFonts w:ascii="FrankRuehl" w:hAnsi="FrankRuehl"/>
          <w:color w:val="000000"/>
          <w:sz w:val="28"/>
          <w:rtl/>
        </w:rPr>
        <w:t xml:space="preserve"> להתיישב עם מדיניות הפיצוי הנוהגת בפסיקה</w:t>
      </w:r>
      <w:r>
        <w:rPr>
          <w:rFonts w:ascii="FrankRuehl" w:hAnsi="FrankRuehl" w:hint="cs"/>
          <w:color w:val="000000"/>
          <w:sz w:val="28"/>
          <w:rtl/>
        </w:rPr>
        <w:t xml:space="preserve"> (וראו דברי חברתי השופטת </w:t>
      </w:r>
      <w:r>
        <w:rPr>
          <w:rFonts w:ascii="Century" w:hAnsi="Century" w:cs="Miriam" w:hint="cs"/>
          <w:b/>
          <w:spacing w:val="0"/>
          <w:szCs w:val="24"/>
          <w:rtl/>
        </w:rPr>
        <w:t xml:space="preserve">י' </w:t>
      </w:r>
      <w:r w:rsidRPr="005D4210">
        <w:rPr>
          <w:rFonts w:ascii="Century" w:hAnsi="Century" w:cs="Miriam" w:hint="cs"/>
          <w:b/>
          <w:spacing w:val="0"/>
          <w:szCs w:val="24"/>
          <w:rtl/>
        </w:rPr>
        <w:t xml:space="preserve">וילנר </w:t>
      </w:r>
      <w:r>
        <w:rPr>
          <w:rFonts w:ascii="Century" w:hAnsi="Century" w:hint="cs"/>
          <w:rtl/>
        </w:rPr>
        <w:t xml:space="preserve">בעניין </w:t>
      </w:r>
      <w:r w:rsidRPr="005D4210">
        <w:rPr>
          <w:rFonts w:ascii="Century" w:hAnsi="Century" w:cs="Miriam" w:hint="cs"/>
          <w:b/>
          <w:spacing w:val="0"/>
          <w:szCs w:val="24"/>
          <w:rtl/>
        </w:rPr>
        <w:t>בן שלום</w:t>
      </w:r>
      <w:r>
        <w:rPr>
          <w:rFonts w:ascii="Century" w:hAnsi="Century" w:hint="cs"/>
          <w:rtl/>
        </w:rPr>
        <w:t xml:space="preserve">, פסקה 139 לפסק דינה), ובתביעות נזיקין על רקע מעשי טרור שהובאו לפתחו של בית משפט זה נפסק סכום זהה לעיזבונות, גם כאשר המפגעים הישירים נתבעו לצד הרשות הפלסטינית, והם חויבו לפי הכלל של "ביחד ולחוד" (וראו המקרים שנדונו בעניין </w:t>
      </w:r>
      <w:r w:rsidRPr="00EE617D">
        <w:rPr>
          <w:rFonts w:ascii="Century" w:hAnsi="Century" w:cs="Miriam" w:hint="cs"/>
          <w:b/>
          <w:spacing w:val="0"/>
          <w:szCs w:val="24"/>
          <w:rtl/>
        </w:rPr>
        <w:t>פלונים</w:t>
      </w:r>
      <w:r>
        <w:rPr>
          <w:rFonts w:ascii="Century" w:hAnsi="Century" w:hint="cs"/>
          <w:rtl/>
        </w:rPr>
        <w:t xml:space="preserve"> ובעניין </w:t>
      </w:r>
      <w:r w:rsidRPr="00EE617D">
        <w:rPr>
          <w:rFonts w:ascii="Century" w:hAnsi="Century" w:cs="Miriam" w:hint="cs"/>
          <w:b/>
          <w:spacing w:val="0"/>
          <w:szCs w:val="24"/>
          <w:rtl/>
        </w:rPr>
        <w:t>בן שלום</w:t>
      </w:r>
      <w:r>
        <w:rPr>
          <w:rFonts w:ascii="Century" w:hAnsi="Century" w:hint="cs"/>
          <w:rtl/>
        </w:rPr>
        <w:t>)" (שם, פסקה 13).</w:t>
      </w:r>
    </w:p>
    <w:p w:rsidR="0047397E" w:rsidRDefault="0047397E" w:rsidP="0047397E">
      <w:pPr>
        <w:pStyle w:val="Ruller41"/>
        <w:spacing w:line="276" w:lineRule="auto"/>
        <w:ind w:left="1320" w:right="1134"/>
        <w:rPr>
          <w:rtl/>
        </w:rPr>
      </w:pPr>
    </w:p>
    <w:p w:rsidR="0047397E" w:rsidRDefault="0047397E" w:rsidP="0047397E">
      <w:pPr>
        <w:pStyle w:val="Ruller41"/>
        <w:spacing w:line="276" w:lineRule="auto"/>
        <w:ind w:left="1320" w:right="1134"/>
        <w:rPr>
          <w:rtl/>
        </w:rPr>
      </w:pPr>
    </w:p>
    <w:p w:rsidR="0047397E" w:rsidRDefault="0047397E" w:rsidP="0047397E">
      <w:pPr>
        <w:pStyle w:val="Ruller41"/>
        <w:rPr>
          <w:rtl/>
        </w:rPr>
      </w:pPr>
      <w:r>
        <w:rPr>
          <w:rtl/>
        </w:rPr>
        <w:tab/>
      </w:r>
      <w:r>
        <w:rPr>
          <w:rFonts w:hint="cs"/>
          <w:rtl/>
        </w:rPr>
        <w:t xml:space="preserve">גם בענייננו, בהעדר נסיבות מיוחדות, יש לפסוק לכלל התובעים נגד הרש"פ בגין כליאת שווא ועינויים, פיצוי עונשי זהה אף אם לעיתים המעשים שנעשו כלפי תובע ספציפי חמורים יותר, למשל בהיבט של אורך תקופת הכליאה. עם זאת יצויין כבר עתה כי במקרים שבהם כליאת השווא הייתה לתקופה קצרה במיוחד למשל לתקופה של מספר ימים או שבועות, יהיה מקום לקחת זאת בחשבון ולפסוק פיצוי עונשי בשיעור נמוך יותר.  </w:t>
      </w:r>
    </w:p>
    <w:p w:rsidR="0047397E" w:rsidRDefault="0047397E" w:rsidP="0047397E">
      <w:pPr>
        <w:pStyle w:val="Ruller41"/>
        <w:rPr>
          <w:rtl/>
        </w:rPr>
      </w:pPr>
    </w:p>
    <w:p w:rsidR="0047397E" w:rsidRPr="006672D1" w:rsidRDefault="0047397E" w:rsidP="0047397E">
      <w:pPr>
        <w:pStyle w:val="Ruller41"/>
        <w:rPr>
          <w:rtl/>
        </w:rPr>
      </w:pPr>
      <w:r>
        <w:rPr>
          <w:rFonts w:hint="cs"/>
          <w:rtl/>
        </w:rPr>
        <w:t xml:space="preserve">101.     לאחר שנתתי דעתי לאופי המעשים וחומרתם, וכן לסוג הפגיעה ותוצאתה, אני פוסקת לתובע פיצוי עונשי </w:t>
      </w:r>
      <w:r w:rsidRPr="00E91C51">
        <w:rPr>
          <w:rFonts w:hint="cs"/>
          <w:b/>
          <w:bCs/>
          <w:u w:val="single"/>
          <w:rtl/>
        </w:rPr>
        <w:t>בס</w:t>
      </w:r>
      <w:r>
        <w:rPr>
          <w:rFonts w:hint="cs"/>
          <w:b/>
          <w:bCs/>
          <w:u w:val="single"/>
          <w:rtl/>
        </w:rPr>
        <w:t xml:space="preserve">ך 500,000 ₪ נכון למועד פסק הדין. </w:t>
      </w:r>
      <w:r w:rsidRPr="006672D1">
        <w:rPr>
          <w:rFonts w:hint="cs"/>
          <w:rtl/>
        </w:rPr>
        <w:t>(פיצוי עונשי בשיעור זהה נפסק גם לפלוני 2</w:t>
      </w:r>
      <w:r>
        <w:rPr>
          <w:rFonts w:hint="cs"/>
          <w:rtl/>
        </w:rPr>
        <w:t xml:space="preserve"> שפסק הדין בעניינו נחתם יחד עם פסק דין זה</w:t>
      </w:r>
      <w:r w:rsidRPr="006672D1">
        <w:rPr>
          <w:rFonts w:hint="cs"/>
          <w:rtl/>
        </w:rPr>
        <w:t xml:space="preserve">).   </w:t>
      </w:r>
    </w:p>
    <w:p w:rsidR="0047397E" w:rsidRDefault="0047397E" w:rsidP="0047397E">
      <w:pPr>
        <w:pStyle w:val="Ruller41"/>
        <w:rPr>
          <w:rtl/>
        </w:rPr>
      </w:pPr>
    </w:p>
    <w:p w:rsidR="0047397E" w:rsidRPr="00EE12D1" w:rsidRDefault="0047397E" w:rsidP="0047397E">
      <w:pPr>
        <w:pStyle w:val="Ruller41"/>
        <w:rPr>
          <w:color w:val="FF0000"/>
        </w:rPr>
      </w:pPr>
      <w:r>
        <w:rPr>
          <w:rFonts w:hint="cs"/>
          <w:rtl/>
        </w:rPr>
        <w:t>102.</w:t>
      </w:r>
      <w:r>
        <w:rPr>
          <w:rtl/>
        </w:rPr>
        <w:tab/>
      </w:r>
      <w:r>
        <w:rPr>
          <w:rFonts w:hint="cs"/>
          <w:rtl/>
        </w:rPr>
        <w:t xml:space="preserve"> לא נעלמה מעיניי העובדה שהפיצוי העונשי שניתן ליתומות בעניין </w:t>
      </w:r>
      <w:r w:rsidRPr="00A527EB">
        <w:rPr>
          <w:rFonts w:ascii="Miriam" w:hAnsi="Miriam" w:cs="Miriam"/>
          <w:sz w:val="24"/>
          <w:szCs w:val="24"/>
          <w:rtl/>
        </w:rPr>
        <w:t>בן שלום</w:t>
      </w:r>
      <w:r>
        <w:rPr>
          <w:rFonts w:hint="cs"/>
          <w:rtl/>
        </w:rPr>
        <w:t xml:space="preserve"> הוא כפל הפיצוי שפסקתי לעיל, הגם שהן לא נפצעו באופן חמור ואף לא נקבעה להן נכות צמיתה. זאת לעומת התובע שלו נכות נפשית צמיתה בשיעור 15% ופלוני 2 שלו נכות צמיתה בשיעור 25%. אולם כפי שציינתי לעיל, יש לבחון את הפיצוי העונשי שנפסק ליתומות בעניין </w:t>
      </w:r>
      <w:r w:rsidRPr="007B6F32">
        <w:rPr>
          <w:rFonts w:ascii="Miriam" w:hAnsi="Miriam" w:cs="Miriam"/>
          <w:sz w:val="24"/>
          <w:szCs w:val="24"/>
          <w:rtl/>
        </w:rPr>
        <w:t>בן שלום</w:t>
      </w:r>
      <w:r>
        <w:rPr>
          <w:rFonts w:hint="cs"/>
          <w:rtl/>
        </w:rPr>
        <w:t>, על רקע חומרת מעשה טרור, ירי על משפחה במטרה לרצוח הורים וילדים, כמו גם על רקע התוצאה הטראגית של אבדן בן משפחה קרוב</w:t>
      </w:r>
      <w:r>
        <w:rPr>
          <w:rFonts w:hint="cs"/>
          <w:color w:val="C00000"/>
          <w:rtl/>
        </w:rPr>
        <w:t xml:space="preserve">.  </w:t>
      </w:r>
      <w:r>
        <w:rPr>
          <w:rFonts w:hint="cs"/>
          <w:rtl/>
        </w:rPr>
        <w:t xml:space="preserve">בענייננו, אף שמדובר במעשים אכזריים ביותר שנועדו לזרוע פחד וטרור כלפי אנשים שמסייעים לישראל בסיכול פעולות טרור אכזריות, לא הייתה כוונה לרצוח ולא נגרמה תוצאה קטלנית. מאותו הטעם נראה, שאין להשוות את שיעור הפיצוי העונשי בענייננו לשיעור הפיצוי העונשי שייפסק לבני משפחה של קרבנות טרור, שלהם 15% נכות נפשית ומעלה, ועומדים בתנאי הלכת אלסוחה </w:t>
      </w:r>
      <w:r w:rsidRPr="005F5F7F">
        <w:rPr>
          <w:rFonts w:ascii="Century" w:hAnsi="Century" w:hint="cs"/>
          <w:color w:val="0000FF"/>
          <w:rtl/>
        </w:rPr>
        <w:t>(</w:t>
      </w:r>
      <w:hyperlink r:id="rId9" w:history="1">
        <w:r w:rsidRPr="005F5F7F">
          <w:rPr>
            <w:rFonts w:ascii="Century" w:hAnsi="Century" w:hint="eastAsia"/>
            <w:color w:val="000000" w:themeColor="text1"/>
            <w:rtl/>
          </w:rPr>
          <w:t>רע</w:t>
        </w:r>
        <w:r w:rsidRPr="005F5F7F">
          <w:rPr>
            <w:rFonts w:ascii="Century" w:hAnsi="Century"/>
            <w:color w:val="000000" w:themeColor="text1"/>
            <w:rtl/>
          </w:rPr>
          <w:t>"</w:t>
        </w:r>
        <w:r w:rsidRPr="005F5F7F">
          <w:rPr>
            <w:rFonts w:ascii="Century" w:hAnsi="Century" w:hint="eastAsia"/>
            <w:color w:val="000000" w:themeColor="text1"/>
            <w:rtl/>
          </w:rPr>
          <w:t>א</w:t>
        </w:r>
        <w:r w:rsidRPr="005F5F7F">
          <w:rPr>
            <w:rFonts w:ascii="Century" w:hAnsi="Century"/>
            <w:color w:val="000000" w:themeColor="text1"/>
            <w:rtl/>
          </w:rPr>
          <w:t xml:space="preserve"> 444/87</w:t>
        </w:r>
      </w:hyperlink>
      <w:r w:rsidRPr="005E32D1">
        <w:rPr>
          <w:rFonts w:ascii="Century" w:hAnsi="Century"/>
          <w:rtl/>
        </w:rPr>
        <w:t xml:space="preserve"> </w:t>
      </w:r>
      <w:r w:rsidRPr="005E32D1">
        <w:rPr>
          <w:rFonts w:ascii="Century" w:hAnsi="Century" w:cs="Miriam"/>
          <w:b/>
          <w:spacing w:val="0"/>
          <w:szCs w:val="24"/>
          <w:rtl/>
        </w:rPr>
        <w:t>אלסוחה נ' עיזבון המנוח דוד דהאן ז"ל</w:t>
      </w:r>
      <w:r w:rsidRPr="005E32D1">
        <w:rPr>
          <w:rFonts w:ascii="Century" w:hAnsi="Century"/>
          <w:rtl/>
        </w:rPr>
        <w:t>, פ</w:t>
      </w:r>
      <w:r w:rsidRPr="005E32D1">
        <w:rPr>
          <w:rFonts w:ascii="Century" w:hAnsi="Century" w:hint="cs"/>
          <w:rtl/>
        </w:rPr>
        <w:t>"</w:t>
      </w:r>
      <w:r w:rsidRPr="005E32D1">
        <w:rPr>
          <w:rFonts w:ascii="Century" w:hAnsi="Century"/>
          <w:rtl/>
        </w:rPr>
        <w:t>ד מד(3) 397</w:t>
      </w:r>
      <w:r w:rsidRPr="005E32D1">
        <w:rPr>
          <w:rFonts w:ascii="Century" w:hAnsi="Century" w:hint="cs"/>
          <w:rtl/>
        </w:rPr>
        <w:t xml:space="preserve"> (1990))</w:t>
      </w:r>
      <w:r>
        <w:rPr>
          <w:rFonts w:hint="cs"/>
          <w:rtl/>
        </w:rPr>
        <w:t xml:space="preserve">(ולכן זכאים לפיצוי עונשי בהתאם לפסק הדין בעניין </w:t>
      </w:r>
      <w:r w:rsidRPr="00B819E6">
        <w:rPr>
          <w:rFonts w:ascii="Miriam" w:hAnsi="Miriam" w:cs="Miriam"/>
          <w:sz w:val="24"/>
          <w:szCs w:val="24"/>
          <w:rtl/>
        </w:rPr>
        <w:t>בן שלום</w:t>
      </w:r>
      <w:r>
        <w:rPr>
          <w:rFonts w:ascii="Miriam" w:hAnsi="Miriam" w:cs="Miriam" w:hint="cs"/>
          <w:sz w:val="24"/>
          <w:szCs w:val="24"/>
          <w:rtl/>
        </w:rPr>
        <w:t>)</w:t>
      </w:r>
      <w:r>
        <w:rPr>
          <w:rFonts w:hint="cs"/>
          <w:rtl/>
        </w:rPr>
        <w:t xml:space="preserve">. בני משפחה העומדים בתנאי אלסוחה איבדו בן משפחה קרוב עקב מעשה טרור שמטרתו הייתה לרצוח אזרחים. לכן גם אם הנכות שנגרמה להם לא בהכרח גבוהה מן הנכות שנגרמה לתובע ולפלוני 2, ייתכן שעניינם של בני משפחה אלה דומה יותר לעניינן של האחיות בעניין </w:t>
      </w:r>
      <w:r w:rsidRPr="00F812E2">
        <w:rPr>
          <w:rFonts w:ascii="Miriam" w:hAnsi="Miriam" w:cs="Miriam"/>
          <w:sz w:val="24"/>
          <w:szCs w:val="24"/>
          <w:rtl/>
        </w:rPr>
        <w:t>בן שלום</w:t>
      </w:r>
      <w:r>
        <w:rPr>
          <w:rFonts w:hint="cs"/>
          <w:rtl/>
        </w:rPr>
        <w:t xml:space="preserve">. מכל מקום שאלת גובה הפיצוי העונשי הראוי, לזכאים לפי הלכת אלסוחה, נדונה כעת בערכאות הדיוניות וטרם נקבעו מסמרות בעניין זה. </w:t>
      </w:r>
      <w:r>
        <w:rPr>
          <w:rFonts w:hint="cs"/>
          <w:color w:val="FF0000"/>
          <w:rtl/>
        </w:rPr>
        <w:t xml:space="preserve"> </w:t>
      </w:r>
    </w:p>
    <w:p w:rsidR="0047397E" w:rsidRDefault="0047397E" w:rsidP="0047397E">
      <w:pPr>
        <w:spacing w:line="360" w:lineRule="auto"/>
        <w:ind w:firstLine="368"/>
        <w:contextualSpacing/>
        <w:rPr>
          <w:rFonts w:ascii="FrankRuehl" w:hAnsi="FrankRuehl" w:cs="FrankRuehl"/>
          <w:b/>
          <w:bCs/>
          <w:sz w:val="28"/>
          <w:szCs w:val="28"/>
          <w:u w:val="single"/>
          <w:rtl/>
        </w:rPr>
      </w:pPr>
    </w:p>
    <w:p w:rsidR="0047397E" w:rsidRDefault="0047397E" w:rsidP="0047397E">
      <w:pPr>
        <w:spacing w:line="360" w:lineRule="auto"/>
        <w:ind w:firstLine="44"/>
        <w:contextualSpacing/>
        <w:jc w:val="both"/>
        <w:rPr>
          <w:rFonts w:ascii="FrankRuehl" w:hAnsi="FrankRuehl" w:cs="FrankRuehl"/>
          <w:b/>
          <w:bCs/>
          <w:sz w:val="28"/>
          <w:szCs w:val="28"/>
          <w:u w:val="single"/>
          <w:rtl/>
        </w:rPr>
      </w:pPr>
      <w:r w:rsidRPr="00AF43FB">
        <w:rPr>
          <w:rFonts w:ascii="FrankRuehl" w:hAnsi="FrankRuehl" w:cs="FrankRuehl"/>
          <w:b/>
          <w:bCs/>
          <w:sz w:val="28"/>
          <w:szCs w:val="28"/>
          <w:u w:val="single"/>
          <w:rtl/>
        </w:rPr>
        <w:t>סיכום</w:t>
      </w:r>
    </w:p>
    <w:p w:rsidR="0047397E" w:rsidRDefault="0047397E" w:rsidP="0047397E">
      <w:pPr>
        <w:spacing w:line="360" w:lineRule="auto"/>
        <w:ind w:firstLine="44"/>
        <w:contextualSpacing/>
        <w:jc w:val="both"/>
        <w:rPr>
          <w:rFonts w:ascii="FrankRuehl" w:hAnsi="FrankRuehl" w:cs="FrankRuehl"/>
          <w:b/>
          <w:bCs/>
          <w:sz w:val="28"/>
          <w:szCs w:val="28"/>
          <w:u w:val="single"/>
          <w:rtl/>
        </w:rPr>
      </w:pPr>
    </w:p>
    <w:p w:rsidR="0047397E" w:rsidRDefault="0047397E" w:rsidP="0047397E">
      <w:pPr>
        <w:spacing w:line="360" w:lineRule="auto"/>
        <w:ind w:firstLine="44"/>
        <w:contextualSpacing/>
        <w:jc w:val="both"/>
        <w:rPr>
          <w:rFonts w:ascii="FrankRuehl" w:hAnsi="FrankRuehl" w:cs="FrankRuehl"/>
          <w:sz w:val="28"/>
          <w:szCs w:val="28"/>
          <w:rtl/>
        </w:rPr>
      </w:pPr>
      <w:r w:rsidRPr="006A1E05">
        <w:rPr>
          <w:rFonts w:ascii="FrankRuehl" w:hAnsi="FrankRuehl" w:cs="FrankRuehl" w:hint="cs"/>
          <w:sz w:val="28"/>
          <w:szCs w:val="28"/>
          <w:rtl/>
        </w:rPr>
        <w:t>10</w:t>
      </w:r>
      <w:r>
        <w:rPr>
          <w:rFonts w:ascii="FrankRuehl" w:hAnsi="FrankRuehl" w:cs="FrankRuehl" w:hint="cs"/>
          <w:sz w:val="28"/>
          <w:szCs w:val="28"/>
          <w:rtl/>
        </w:rPr>
        <w:t>3</w:t>
      </w:r>
      <w:r w:rsidRPr="006A1E05">
        <w:rPr>
          <w:rFonts w:ascii="FrankRuehl" w:hAnsi="FrankRuehl" w:cs="FrankRuehl" w:hint="cs"/>
          <w:sz w:val="28"/>
          <w:szCs w:val="28"/>
          <w:rtl/>
        </w:rPr>
        <w:t>.</w:t>
      </w:r>
      <w:r w:rsidRPr="006A1E05">
        <w:rPr>
          <w:rFonts w:ascii="FrankRuehl" w:hAnsi="FrankRuehl" w:cs="FrankRuehl" w:hint="cs"/>
          <w:sz w:val="28"/>
          <w:szCs w:val="28"/>
          <w:rtl/>
        </w:rPr>
        <w:tab/>
      </w:r>
      <w:r w:rsidRPr="00AF43FB">
        <w:rPr>
          <w:rFonts w:ascii="FrankRuehl" w:hAnsi="FrankRuehl" w:cs="FrankRuehl"/>
          <w:sz w:val="28"/>
          <w:szCs w:val="28"/>
          <w:rtl/>
        </w:rPr>
        <w:t>ה</w:t>
      </w:r>
      <w:r>
        <w:rPr>
          <w:rFonts w:ascii="FrankRuehl" w:hAnsi="FrankRuehl" w:cs="FrankRuehl" w:hint="cs"/>
          <w:sz w:val="28"/>
          <w:szCs w:val="28"/>
          <w:rtl/>
        </w:rPr>
        <w:t xml:space="preserve">רש"פ </w:t>
      </w:r>
      <w:r>
        <w:rPr>
          <w:rFonts w:ascii="FrankRuehl" w:hAnsi="FrankRuehl" w:cs="FrankRuehl"/>
          <w:sz w:val="28"/>
          <w:szCs w:val="28"/>
          <w:rtl/>
        </w:rPr>
        <w:t>תשלם לתובע את הסכומים שנפס</w:t>
      </w:r>
      <w:r>
        <w:rPr>
          <w:rFonts w:ascii="FrankRuehl" w:hAnsi="FrankRuehl" w:cs="FrankRuehl" w:hint="cs"/>
          <w:sz w:val="28"/>
          <w:szCs w:val="28"/>
          <w:rtl/>
        </w:rPr>
        <w:t xml:space="preserve">קו לעיל, </w:t>
      </w:r>
      <w:r w:rsidRPr="00AF43FB">
        <w:rPr>
          <w:rFonts w:ascii="FrankRuehl" w:hAnsi="FrankRuehl" w:cs="FrankRuehl"/>
          <w:sz w:val="28"/>
          <w:szCs w:val="28"/>
          <w:rtl/>
        </w:rPr>
        <w:t>בצירוף שכר טרחת עו"ד בשיעור 23.4% וכן הוצאות משפט</w:t>
      </w:r>
      <w:r>
        <w:rPr>
          <w:rFonts w:ascii="FrankRuehl" w:hAnsi="FrankRuehl" w:cs="FrankRuehl" w:hint="cs"/>
          <w:sz w:val="28"/>
          <w:szCs w:val="28"/>
          <w:rtl/>
        </w:rPr>
        <w:t xml:space="preserve">, זאת למעט בכל הנוגע לפיצוי שבגין אבדן החרות בסך 1,270,000 ₪ שלגביו בלבד, שכר הטרחה יעמוד על 10% כפי שנקבע בפסק הדין החלקי בעניינם של התובעים שם (ראו פסקאות  341-339 לפסק הדין החלקי ולאחר שנתתי דעתי לאמור שם בפסקה 342). יוער כי הגם שסכום הפיצוי בענייננו כולל גם רכיב של פיצוי עונשי, משנפסק גם פיצוי תרופתי  בשיעור משמעותי ביחס לשיעור הפיצוי העונשי שנפסק, לא ראיתי לפסוק שכר טרחה בשיעור מופחת כפי  שהפחתתי בעניין </w:t>
      </w:r>
      <w:r w:rsidRPr="00DA32FC">
        <w:rPr>
          <w:rFonts w:ascii="Miriam" w:hAnsi="Miriam" w:cs="Miriam"/>
          <w:rtl/>
        </w:rPr>
        <w:t xml:space="preserve">פלונית </w:t>
      </w:r>
      <w:r>
        <w:rPr>
          <w:rFonts w:ascii="Miriam" w:hAnsi="Miriam" w:cs="Miriam" w:hint="cs"/>
          <w:rtl/>
        </w:rPr>
        <w:t>-</w:t>
      </w:r>
      <w:r w:rsidRPr="00DA32FC">
        <w:rPr>
          <w:rFonts w:ascii="Miriam" w:hAnsi="Miriam" w:cs="Miriam"/>
          <w:rtl/>
        </w:rPr>
        <w:t xml:space="preserve"> מחוזי</w:t>
      </w:r>
      <w:r>
        <w:rPr>
          <w:rFonts w:ascii="FrankRuehl" w:hAnsi="FrankRuehl" w:cs="FrankRuehl" w:hint="cs"/>
          <w:sz w:val="28"/>
          <w:szCs w:val="28"/>
          <w:rtl/>
        </w:rPr>
        <w:t xml:space="preserve">.  </w:t>
      </w:r>
    </w:p>
    <w:p w:rsidR="0047397E" w:rsidRDefault="0047397E" w:rsidP="0047397E">
      <w:pPr>
        <w:spacing w:line="360" w:lineRule="auto"/>
        <w:ind w:firstLine="44"/>
        <w:contextualSpacing/>
        <w:jc w:val="both"/>
        <w:rPr>
          <w:rFonts w:ascii="FrankRuehl" w:hAnsi="FrankRuehl" w:cs="FrankRuehl"/>
          <w:sz w:val="28"/>
          <w:szCs w:val="28"/>
          <w:rtl/>
        </w:rPr>
      </w:pPr>
    </w:p>
    <w:p w:rsidR="0047397E" w:rsidRDefault="0047397E" w:rsidP="0047397E">
      <w:pPr>
        <w:spacing w:line="360" w:lineRule="auto"/>
        <w:ind w:firstLine="44"/>
        <w:contextualSpacing/>
        <w:rPr>
          <w:rtl/>
        </w:rPr>
      </w:pPr>
      <w:r>
        <w:rPr>
          <w:rFonts w:ascii="FrankRuehl" w:hAnsi="FrankRuehl" w:cs="FrankRuehl"/>
          <w:sz w:val="28"/>
          <w:szCs w:val="28"/>
          <w:rtl/>
        </w:rPr>
        <w:tab/>
      </w:r>
      <w:r>
        <w:rPr>
          <w:rFonts w:ascii="FrankRuehl" w:hAnsi="FrankRuehl" w:cs="FrankRuehl" w:hint="cs"/>
          <w:sz w:val="28"/>
          <w:szCs w:val="28"/>
        </w:rPr>
        <w:t xml:space="preserve">     </w:t>
      </w:r>
      <w:r>
        <w:rPr>
          <w:rFonts w:ascii="FrankRuehl" w:hAnsi="FrankRuehl" w:cs="FrankRuehl" w:hint="cs"/>
          <w:sz w:val="28"/>
          <w:szCs w:val="28"/>
          <w:rtl/>
        </w:rPr>
        <w:t>ה</w:t>
      </w:r>
      <w:r w:rsidRPr="00AF43FB">
        <w:rPr>
          <w:rFonts w:ascii="FrankRuehl" w:hAnsi="FrankRuehl" w:cs="FrankRuehl"/>
          <w:sz w:val="28"/>
          <w:szCs w:val="28"/>
          <w:rtl/>
        </w:rPr>
        <w:t>סכומים ישולמו בתוך 30 ימים מיום המצאת פסק הדין שאם לא כן יישאו הפרשי הצמדה וריבית</w:t>
      </w:r>
      <w:r>
        <w:rPr>
          <w:rFonts w:ascii="FrankRuehl" w:hAnsi="FrankRuehl" w:cs="FrankRuehl" w:hint="cs"/>
          <w:sz w:val="28"/>
          <w:szCs w:val="28"/>
          <w:rtl/>
        </w:rPr>
        <w:t xml:space="preserve"> </w:t>
      </w:r>
      <w:r w:rsidRPr="00AF43FB">
        <w:rPr>
          <w:rFonts w:ascii="FrankRuehl" w:hAnsi="FrankRuehl" w:cs="FrankRuehl"/>
          <w:sz w:val="28"/>
          <w:szCs w:val="28"/>
          <w:rtl/>
        </w:rPr>
        <w:t>כדין</w:t>
      </w:r>
      <w:r>
        <w:rPr>
          <w:rFonts w:ascii="FrankRuehl" w:hAnsi="FrankRuehl" w:cs="FrankRuehl" w:hint="cs"/>
          <w:sz w:val="28"/>
          <w:szCs w:val="28"/>
          <w:rtl/>
        </w:rPr>
        <w:t xml:space="preserve"> </w:t>
      </w:r>
      <w:r>
        <w:rPr>
          <w:rFonts w:ascii="FrankRuehl" w:hAnsi="FrankRuehl" w:cs="FrankRuehl"/>
          <w:sz w:val="28"/>
          <w:szCs w:val="28"/>
          <w:rtl/>
        </w:rPr>
        <w:t>מהיום ועד יום התשלום בפועל.</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שבט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פברואר 2023</w:t>
          </w:r>
        </w:sdtContent>
      </w:sdt>
      <w:r w:rsidR="00005C8B">
        <w:rPr>
          <w:rFonts w:ascii="Arial" w:hAnsi="Arial"/>
          <w:noProof w:val="0"/>
          <w:rtl/>
        </w:rPr>
        <w:t>, בהעדר הצדדים.</w:t>
      </w:r>
    </w:p>
    <w:p w:rsidR="00C43648" w:rsidRDefault="009E01F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141171447"/>
        </w:sdtPr>
        <w:sdtEndPr/>
        <w:sdtContent>
          <w:r w:rsidR="00CE707C">
            <w:drawing>
              <wp:inline distT="0" distB="0" distL="0" distR="0" wp14:editId="50D07946">
                <wp:extent cx="11715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71575" cy="7905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47397E">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9E01FA">
      <w:rPr>
        <w:rStyle w:val="ae"/>
        <w:rFonts w:cs="Times New Roman"/>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9E01FA">
      <w:rPr>
        <w:rStyle w:val="ae"/>
        <w:rtl/>
      </w:rPr>
      <w:t>42</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E01FA"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14057-09-19</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פלוני נ' הפלסטינית</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7D45E3" w:rsidP="007D45E3">
          <w:pPr>
            <w:rPr>
              <w:sz w:val="20"/>
              <w:szCs w:val="20"/>
              <w:rtl/>
            </w:rPr>
          </w:pP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A2E5A"/>
    <w:multiLevelType w:val="hybridMultilevel"/>
    <w:tmpl w:val="672C85B0"/>
    <w:lvl w:ilvl="0" w:tplc="1416E08E">
      <w:start w:val="1"/>
      <w:numFmt w:val="decimal"/>
      <w:lvlText w:val="%1."/>
      <w:lvlJc w:val="left"/>
      <w:pPr>
        <w:ind w:left="720" w:hanging="360"/>
      </w:pPr>
      <w:rPr>
        <w:rFonts w:hint="default"/>
      </w:rPr>
    </w:lvl>
    <w:lvl w:ilvl="1" w:tplc="22A2FC98" w:tentative="1">
      <w:start w:val="1"/>
      <w:numFmt w:val="lowerLetter"/>
      <w:lvlText w:val="%2."/>
      <w:lvlJc w:val="left"/>
      <w:pPr>
        <w:ind w:left="1440" w:hanging="360"/>
      </w:pPr>
    </w:lvl>
    <w:lvl w:ilvl="2" w:tplc="F1782BFA" w:tentative="1">
      <w:start w:val="1"/>
      <w:numFmt w:val="lowerRoman"/>
      <w:lvlText w:val="%3."/>
      <w:lvlJc w:val="right"/>
      <w:pPr>
        <w:ind w:left="2160" w:hanging="180"/>
      </w:pPr>
    </w:lvl>
    <w:lvl w:ilvl="3" w:tplc="75140062" w:tentative="1">
      <w:start w:val="1"/>
      <w:numFmt w:val="decimal"/>
      <w:lvlText w:val="%4."/>
      <w:lvlJc w:val="left"/>
      <w:pPr>
        <w:ind w:left="2880" w:hanging="360"/>
      </w:pPr>
    </w:lvl>
    <w:lvl w:ilvl="4" w:tplc="04BCF9B0" w:tentative="1">
      <w:start w:val="1"/>
      <w:numFmt w:val="lowerLetter"/>
      <w:lvlText w:val="%5."/>
      <w:lvlJc w:val="left"/>
      <w:pPr>
        <w:ind w:left="3600" w:hanging="360"/>
      </w:pPr>
    </w:lvl>
    <w:lvl w:ilvl="5" w:tplc="9DFC6F64" w:tentative="1">
      <w:start w:val="1"/>
      <w:numFmt w:val="lowerRoman"/>
      <w:lvlText w:val="%6."/>
      <w:lvlJc w:val="right"/>
      <w:pPr>
        <w:ind w:left="4320" w:hanging="180"/>
      </w:pPr>
    </w:lvl>
    <w:lvl w:ilvl="6" w:tplc="CFFCA414" w:tentative="1">
      <w:start w:val="1"/>
      <w:numFmt w:val="decimal"/>
      <w:lvlText w:val="%7."/>
      <w:lvlJc w:val="left"/>
      <w:pPr>
        <w:ind w:left="5040" w:hanging="360"/>
      </w:pPr>
    </w:lvl>
    <w:lvl w:ilvl="7" w:tplc="1FE4E720" w:tentative="1">
      <w:start w:val="1"/>
      <w:numFmt w:val="lowerLetter"/>
      <w:lvlText w:val="%8."/>
      <w:lvlJc w:val="left"/>
      <w:pPr>
        <w:ind w:left="5760" w:hanging="360"/>
      </w:pPr>
    </w:lvl>
    <w:lvl w:ilvl="8" w:tplc="78F61898" w:tentative="1">
      <w:start w:val="1"/>
      <w:numFmt w:val="lowerRoman"/>
      <w:lvlText w:val="%9."/>
      <w:lvlJc w:val="right"/>
      <w:pPr>
        <w:ind w:left="6480" w:hanging="180"/>
      </w:pPr>
    </w:lvl>
  </w:abstractNum>
  <w:abstractNum w:abstractNumId="11" w15:restartNumberingAfterBreak="0">
    <w:nsid w:val="03A33BAA"/>
    <w:multiLevelType w:val="hybridMultilevel"/>
    <w:tmpl w:val="1DC0D9B0"/>
    <w:lvl w:ilvl="0" w:tplc="496E51F4">
      <w:start w:val="84"/>
      <w:numFmt w:val="decimal"/>
      <w:lvlText w:val="%1."/>
      <w:lvlJc w:val="left"/>
      <w:pPr>
        <w:ind w:left="360" w:hanging="360"/>
      </w:pPr>
      <w:rPr>
        <w:rFonts w:hint="default"/>
        <w:sz w:val="28"/>
      </w:rPr>
    </w:lvl>
    <w:lvl w:ilvl="1" w:tplc="667E79E6" w:tentative="1">
      <w:start w:val="1"/>
      <w:numFmt w:val="lowerLetter"/>
      <w:lvlText w:val="%2."/>
      <w:lvlJc w:val="left"/>
      <w:pPr>
        <w:ind w:left="1222" w:hanging="360"/>
      </w:pPr>
    </w:lvl>
    <w:lvl w:ilvl="2" w:tplc="DEA62A62" w:tentative="1">
      <w:start w:val="1"/>
      <w:numFmt w:val="lowerRoman"/>
      <w:lvlText w:val="%3."/>
      <w:lvlJc w:val="right"/>
      <w:pPr>
        <w:ind w:left="1942" w:hanging="180"/>
      </w:pPr>
    </w:lvl>
    <w:lvl w:ilvl="3" w:tplc="7BC48846" w:tentative="1">
      <w:start w:val="1"/>
      <w:numFmt w:val="decimal"/>
      <w:lvlText w:val="%4."/>
      <w:lvlJc w:val="left"/>
      <w:pPr>
        <w:ind w:left="2662" w:hanging="360"/>
      </w:pPr>
    </w:lvl>
    <w:lvl w:ilvl="4" w:tplc="5E987566" w:tentative="1">
      <w:start w:val="1"/>
      <w:numFmt w:val="lowerLetter"/>
      <w:lvlText w:val="%5."/>
      <w:lvlJc w:val="left"/>
      <w:pPr>
        <w:ind w:left="3382" w:hanging="360"/>
      </w:pPr>
    </w:lvl>
    <w:lvl w:ilvl="5" w:tplc="52722ED2" w:tentative="1">
      <w:start w:val="1"/>
      <w:numFmt w:val="lowerRoman"/>
      <w:lvlText w:val="%6."/>
      <w:lvlJc w:val="right"/>
      <w:pPr>
        <w:ind w:left="4102" w:hanging="180"/>
      </w:pPr>
    </w:lvl>
    <w:lvl w:ilvl="6" w:tplc="BB74C31C" w:tentative="1">
      <w:start w:val="1"/>
      <w:numFmt w:val="decimal"/>
      <w:lvlText w:val="%7."/>
      <w:lvlJc w:val="left"/>
      <w:pPr>
        <w:ind w:left="4822" w:hanging="360"/>
      </w:pPr>
    </w:lvl>
    <w:lvl w:ilvl="7" w:tplc="B434B5F2" w:tentative="1">
      <w:start w:val="1"/>
      <w:numFmt w:val="lowerLetter"/>
      <w:lvlText w:val="%8."/>
      <w:lvlJc w:val="left"/>
      <w:pPr>
        <w:ind w:left="5542" w:hanging="360"/>
      </w:pPr>
    </w:lvl>
    <w:lvl w:ilvl="8" w:tplc="A044BC40" w:tentative="1">
      <w:start w:val="1"/>
      <w:numFmt w:val="lowerRoman"/>
      <w:lvlText w:val="%9."/>
      <w:lvlJc w:val="right"/>
      <w:pPr>
        <w:ind w:left="6262" w:hanging="180"/>
      </w:pPr>
    </w:lvl>
  </w:abstractNum>
  <w:abstractNum w:abstractNumId="12" w15:restartNumberingAfterBreak="0">
    <w:nsid w:val="06226AA5"/>
    <w:multiLevelType w:val="hybridMultilevel"/>
    <w:tmpl w:val="8334C8D6"/>
    <w:lvl w:ilvl="0" w:tplc="6FA23E10">
      <w:start w:val="1"/>
      <w:numFmt w:val="decimal"/>
      <w:lvlText w:val="%1."/>
      <w:lvlJc w:val="left"/>
      <w:pPr>
        <w:ind w:left="720" w:hanging="360"/>
      </w:pPr>
      <w:rPr>
        <w:rFonts w:cs="David"/>
        <w:b w:val="0"/>
        <w:bCs w:val="0"/>
      </w:rPr>
    </w:lvl>
    <w:lvl w:ilvl="1" w:tplc="4754E1E2">
      <w:start w:val="1"/>
      <w:numFmt w:val="lowerLetter"/>
      <w:lvlText w:val="%2."/>
      <w:lvlJc w:val="left"/>
      <w:pPr>
        <w:ind w:left="1440" w:hanging="360"/>
      </w:pPr>
    </w:lvl>
    <w:lvl w:ilvl="2" w:tplc="4FD4DA72">
      <w:start w:val="1"/>
      <w:numFmt w:val="lowerRoman"/>
      <w:lvlText w:val="%3."/>
      <w:lvlJc w:val="right"/>
      <w:pPr>
        <w:ind w:left="2160" w:hanging="180"/>
      </w:pPr>
    </w:lvl>
    <w:lvl w:ilvl="3" w:tplc="C526E870">
      <w:start w:val="1"/>
      <w:numFmt w:val="decimal"/>
      <w:lvlText w:val="%4."/>
      <w:lvlJc w:val="left"/>
      <w:pPr>
        <w:ind w:left="2880" w:hanging="360"/>
      </w:pPr>
    </w:lvl>
    <w:lvl w:ilvl="4" w:tplc="D3005BA6">
      <w:start w:val="1"/>
      <w:numFmt w:val="lowerLetter"/>
      <w:lvlText w:val="%5."/>
      <w:lvlJc w:val="left"/>
      <w:pPr>
        <w:ind w:left="3600" w:hanging="360"/>
      </w:pPr>
    </w:lvl>
    <w:lvl w:ilvl="5" w:tplc="4836CE88">
      <w:start w:val="1"/>
      <w:numFmt w:val="lowerRoman"/>
      <w:lvlText w:val="%6."/>
      <w:lvlJc w:val="right"/>
      <w:pPr>
        <w:ind w:left="4320" w:hanging="180"/>
      </w:pPr>
    </w:lvl>
    <w:lvl w:ilvl="6" w:tplc="B4E8DC56">
      <w:start w:val="1"/>
      <w:numFmt w:val="decimal"/>
      <w:lvlText w:val="%7."/>
      <w:lvlJc w:val="left"/>
      <w:pPr>
        <w:ind w:left="5040" w:hanging="360"/>
      </w:pPr>
    </w:lvl>
    <w:lvl w:ilvl="7" w:tplc="67C8054E">
      <w:start w:val="1"/>
      <w:numFmt w:val="lowerLetter"/>
      <w:lvlText w:val="%8."/>
      <w:lvlJc w:val="left"/>
      <w:pPr>
        <w:ind w:left="5760" w:hanging="360"/>
      </w:pPr>
    </w:lvl>
    <w:lvl w:ilvl="8" w:tplc="F320A634">
      <w:start w:val="1"/>
      <w:numFmt w:val="lowerRoman"/>
      <w:lvlText w:val="%9."/>
      <w:lvlJc w:val="right"/>
      <w:pPr>
        <w:ind w:left="6480" w:hanging="180"/>
      </w:pPr>
    </w:lvl>
  </w:abstractNum>
  <w:abstractNum w:abstractNumId="13" w15:restartNumberingAfterBreak="0">
    <w:nsid w:val="08A6001B"/>
    <w:multiLevelType w:val="hybridMultilevel"/>
    <w:tmpl w:val="36BC2566"/>
    <w:lvl w:ilvl="0" w:tplc="601C7484">
      <w:start w:val="1"/>
      <w:numFmt w:val="decimal"/>
      <w:pStyle w:val="Ruller4"/>
      <w:lvlText w:val="%1."/>
      <w:lvlJc w:val="left"/>
      <w:pPr>
        <w:tabs>
          <w:tab w:val="num" w:pos="1049"/>
        </w:tabs>
        <w:ind w:left="142" w:firstLine="0"/>
      </w:pPr>
      <w:rPr>
        <w:rFonts w:hint="default"/>
        <w:lang w:bidi="he-IL"/>
      </w:rPr>
    </w:lvl>
    <w:lvl w:ilvl="1" w:tplc="8622602E" w:tentative="1">
      <w:start w:val="1"/>
      <w:numFmt w:val="lowerLetter"/>
      <w:lvlText w:val="%2."/>
      <w:lvlJc w:val="left"/>
      <w:pPr>
        <w:tabs>
          <w:tab w:val="num" w:pos="1582"/>
        </w:tabs>
        <w:ind w:left="1582" w:hanging="360"/>
      </w:pPr>
    </w:lvl>
    <w:lvl w:ilvl="2" w:tplc="5A46BC9C" w:tentative="1">
      <w:start w:val="1"/>
      <w:numFmt w:val="lowerRoman"/>
      <w:lvlText w:val="%3."/>
      <w:lvlJc w:val="right"/>
      <w:pPr>
        <w:tabs>
          <w:tab w:val="num" w:pos="2302"/>
        </w:tabs>
        <w:ind w:left="2302" w:hanging="180"/>
      </w:pPr>
    </w:lvl>
    <w:lvl w:ilvl="3" w:tplc="49BC3C00" w:tentative="1">
      <w:start w:val="1"/>
      <w:numFmt w:val="decimal"/>
      <w:lvlText w:val="%4."/>
      <w:lvlJc w:val="left"/>
      <w:pPr>
        <w:tabs>
          <w:tab w:val="num" w:pos="3022"/>
        </w:tabs>
        <w:ind w:left="3022" w:hanging="360"/>
      </w:pPr>
    </w:lvl>
    <w:lvl w:ilvl="4" w:tplc="5D92402E" w:tentative="1">
      <w:start w:val="1"/>
      <w:numFmt w:val="lowerLetter"/>
      <w:lvlText w:val="%5."/>
      <w:lvlJc w:val="left"/>
      <w:pPr>
        <w:tabs>
          <w:tab w:val="num" w:pos="3742"/>
        </w:tabs>
        <w:ind w:left="3742" w:hanging="360"/>
      </w:pPr>
    </w:lvl>
    <w:lvl w:ilvl="5" w:tplc="8AB25B16" w:tentative="1">
      <w:start w:val="1"/>
      <w:numFmt w:val="lowerRoman"/>
      <w:lvlText w:val="%6."/>
      <w:lvlJc w:val="right"/>
      <w:pPr>
        <w:tabs>
          <w:tab w:val="num" w:pos="4462"/>
        </w:tabs>
        <w:ind w:left="4462" w:hanging="180"/>
      </w:pPr>
    </w:lvl>
    <w:lvl w:ilvl="6" w:tplc="D7B85728" w:tentative="1">
      <w:start w:val="1"/>
      <w:numFmt w:val="decimal"/>
      <w:lvlText w:val="%7."/>
      <w:lvlJc w:val="left"/>
      <w:pPr>
        <w:tabs>
          <w:tab w:val="num" w:pos="5182"/>
        </w:tabs>
        <w:ind w:left="5182" w:hanging="360"/>
      </w:pPr>
    </w:lvl>
    <w:lvl w:ilvl="7" w:tplc="01604204" w:tentative="1">
      <w:start w:val="1"/>
      <w:numFmt w:val="lowerLetter"/>
      <w:lvlText w:val="%8."/>
      <w:lvlJc w:val="left"/>
      <w:pPr>
        <w:tabs>
          <w:tab w:val="num" w:pos="5902"/>
        </w:tabs>
        <w:ind w:left="5902" w:hanging="360"/>
      </w:pPr>
    </w:lvl>
    <w:lvl w:ilvl="8" w:tplc="0256DADE" w:tentative="1">
      <w:start w:val="1"/>
      <w:numFmt w:val="lowerRoman"/>
      <w:lvlText w:val="%9."/>
      <w:lvlJc w:val="right"/>
      <w:pPr>
        <w:tabs>
          <w:tab w:val="num" w:pos="6622"/>
        </w:tabs>
        <w:ind w:left="6622" w:hanging="180"/>
      </w:pPr>
    </w:lvl>
  </w:abstractNum>
  <w:abstractNum w:abstractNumId="14" w15:restartNumberingAfterBreak="0">
    <w:nsid w:val="13943F98"/>
    <w:multiLevelType w:val="hybridMultilevel"/>
    <w:tmpl w:val="7BE479A2"/>
    <w:lvl w:ilvl="0" w:tplc="793C7D0C">
      <w:start w:val="1"/>
      <w:numFmt w:val="decimal"/>
      <w:lvlText w:val="%1."/>
      <w:lvlJc w:val="left"/>
      <w:pPr>
        <w:ind w:left="1155" w:hanging="795"/>
      </w:pPr>
      <w:rPr>
        <w:rFonts w:hint="default"/>
      </w:rPr>
    </w:lvl>
    <w:lvl w:ilvl="1" w:tplc="9F785462" w:tentative="1">
      <w:start w:val="1"/>
      <w:numFmt w:val="lowerLetter"/>
      <w:lvlText w:val="%2."/>
      <w:lvlJc w:val="left"/>
      <w:pPr>
        <w:ind w:left="1440" w:hanging="360"/>
      </w:pPr>
    </w:lvl>
    <w:lvl w:ilvl="2" w:tplc="9A60C69A" w:tentative="1">
      <w:start w:val="1"/>
      <w:numFmt w:val="lowerRoman"/>
      <w:lvlText w:val="%3."/>
      <w:lvlJc w:val="right"/>
      <w:pPr>
        <w:ind w:left="2160" w:hanging="180"/>
      </w:pPr>
    </w:lvl>
    <w:lvl w:ilvl="3" w:tplc="93C682CE" w:tentative="1">
      <w:start w:val="1"/>
      <w:numFmt w:val="decimal"/>
      <w:lvlText w:val="%4."/>
      <w:lvlJc w:val="left"/>
      <w:pPr>
        <w:ind w:left="2880" w:hanging="360"/>
      </w:pPr>
    </w:lvl>
    <w:lvl w:ilvl="4" w:tplc="9DBCACFA" w:tentative="1">
      <w:start w:val="1"/>
      <w:numFmt w:val="lowerLetter"/>
      <w:lvlText w:val="%5."/>
      <w:lvlJc w:val="left"/>
      <w:pPr>
        <w:ind w:left="3600" w:hanging="360"/>
      </w:pPr>
    </w:lvl>
    <w:lvl w:ilvl="5" w:tplc="7F22CB1C" w:tentative="1">
      <w:start w:val="1"/>
      <w:numFmt w:val="lowerRoman"/>
      <w:lvlText w:val="%6."/>
      <w:lvlJc w:val="right"/>
      <w:pPr>
        <w:ind w:left="4320" w:hanging="180"/>
      </w:pPr>
    </w:lvl>
    <w:lvl w:ilvl="6" w:tplc="8FCE53D0" w:tentative="1">
      <w:start w:val="1"/>
      <w:numFmt w:val="decimal"/>
      <w:lvlText w:val="%7."/>
      <w:lvlJc w:val="left"/>
      <w:pPr>
        <w:ind w:left="5040" w:hanging="360"/>
      </w:pPr>
    </w:lvl>
    <w:lvl w:ilvl="7" w:tplc="D2964DB4" w:tentative="1">
      <w:start w:val="1"/>
      <w:numFmt w:val="lowerLetter"/>
      <w:lvlText w:val="%8."/>
      <w:lvlJc w:val="left"/>
      <w:pPr>
        <w:ind w:left="5760" w:hanging="360"/>
      </w:pPr>
    </w:lvl>
    <w:lvl w:ilvl="8" w:tplc="7540748C" w:tentative="1">
      <w:start w:val="1"/>
      <w:numFmt w:val="lowerRoman"/>
      <w:lvlText w:val="%9."/>
      <w:lvlJc w:val="right"/>
      <w:pPr>
        <w:ind w:left="6480" w:hanging="180"/>
      </w:pPr>
    </w:lvl>
  </w:abstractNum>
  <w:abstractNum w:abstractNumId="15" w15:restartNumberingAfterBreak="0">
    <w:nsid w:val="22E617BE"/>
    <w:multiLevelType w:val="hybridMultilevel"/>
    <w:tmpl w:val="3E3AA9FC"/>
    <w:lvl w:ilvl="0" w:tplc="23C6D1E6">
      <w:start w:val="1"/>
      <w:numFmt w:val="decimal"/>
      <w:lvlText w:val="%1."/>
      <w:lvlJc w:val="left"/>
      <w:pPr>
        <w:ind w:left="502" w:hanging="360"/>
      </w:pPr>
      <w:rPr>
        <w:b w:val="0"/>
        <w:bCs w:val="0"/>
      </w:rPr>
    </w:lvl>
    <w:lvl w:ilvl="1" w:tplc="E95ABD42">
      <w:start w:val="1"/>
      <w:numFmt w:val="lowerLetter"/>
      <w:lvlText w:val="%2."/>
      <w:lvlJc w:val="left"/>
      <w:pPr>
        <w:ind w:left="1222" w:hanging="360"/>
      </w:pPr>
    </w:lvl>
    <w:lvl w:ilvl="2" w:tplc="1026C1BC">
      <w:start w:val="1"/>
      <w:numFmt w:val="lowerRoman"/>
      <w:lvlText w:val="%3."/>
      <w:lvlJc w:val="right"/>
      <w:pPr>
        <w:ind w:left="1942" w:hanging="180"/>
      </w:pPr>
    </w:lvl>
    <w:lvl w:ilvl="3" w:tplc="01A8D3BA">
      <w:start w:val="1"/>
      <w:numFmt w:val="decimal"/>
      <w:lvlText w:val="%4."/>
      <w:lvlJc w:val="left"/>
      <w:pPr>
        <w:ind w:left="2662" w:hanging="360"/>
      </w:pPr>
    </w:lvl>
    <w:lvl w:ilvl="4" w:tplc="3B6AB4E6">
      <w:start w:val="1"/>
      <w:numFmt w:val="lowerLetter"/>
      <w:lvlText w:val="%5."/>
      <w:lvlJc w:val="left"/>
      <w:pPr>
        <w:ind w:left="3382" w:hanging="360"/>
      </w:pPr>
    </w:lvl>
    <w:lvl w:ilvl="5" w:tplc="89DAD192">
      <w:start w:val="1"/>
      <w:numFmt w:val="lowerRoman"/>
      <w:lvlText w:val="%6."/>
      <w:lvlJc w:val="right"/>
      <w:pPr>
        <w:ind w:left="4102" w:hanging="180"/>
      </w:pPr>
    </w:lvl>
    <w:lvl w:ilvl="6" w:tplc="56B82AC8">
      <w:start w:val="1"/>
      <w:numFmt w:val="decimal"/>
      <w:lvlText w:val="%7."/>
      <w:lvlJc w:val="left"/>
      <w:pPr>
        <w:ind w:left="4822" w:hanging="360"/>
      </w:pPr>
    </w:lvl>
    <w:lvl w:ilvl="7" w:tplc="A37A0860">
      <w:start w:val="1"/>
      <w:numFmt w:val="lowerLetter"/>
      <w:lvlText w:val="%8."/>
      <w:lvlJc w:val="left"/>
      <w:pPr>
        <w:ind w:left="5542" w:hanging="360"/>
      </w:pPr>
    </w:lvl>
    <w:lvl w:ilvl="8" w:tplc="CAA21F36">
      <w:start w:val="1"/>
      <w:numFmt w:val="lowerRoman"/>
      <w:lvlText w:val="%9."/>
      <w:lvlJc w:val="right"/>
      <w:pPr>
        <w:ind w:left="6262" w:hanging="180"/>
      </w:pPr>
    </w:lvl>
  </w:abstractNum>
  <w:abstractNum w:abstractNumId="16" w15:restartNumberingAfterBreak="0">
    <w:nsid w:val="3950672A"/>
    <w:multiLevelType w:val="hybridMultilevel"/>
    <w:tmpl w:val="567A06AE"/>
    <w:lvl w:ilvl="0" w:tplc="BC3490A6">
      <w:start w:val="1"/>
      <w:numFmt w:val="decimal"/>
      <w:lvlText w:val="(%1)"/>
      <w:lvlJc w:val="left"/>
      <w:pPr>
        <w:ind w:left="720" w:hanging="360"/>
      </w:pPr>
      <w:rPr>
        <w:rFonts w:cs="Times New Roman"/>
      </w:rPr>
    </w:lvl>
    <w:lvl w:ilvl="1" w:tplc="C396DF9A">
      <w:start w:val="1"/>
      <w:numFmt w:val="lowerLetter"/>
      <w:lvlText w:val="%2."/>
      <w:lvlJc w:val="left"/>
      <w:pPr>
        <w:ind w:left="1440" w:hanging="360"/>
      </w:pPr>
      <w:rPr>
        <w:rFonts w:cs="Times New Roman"/>
      </w:rPr>
    </w:lvl>
    <w:lvl w:ilvl="2" w:tplc="9E825FAC">
      <w:start w:val="1"/>
      <w:numFmt w:val="lowerRoman"/>
      <w:lvlText w:val="%3."/>
      <w:lvlJc w:val="right"/>
      <w:pPr>
        <w:ind w:left="2160" w:hanging="180"/>
      </w:pPr>
      <w:rPr>
        <w:rFonts w:cs="Times New Roman"/>
      </w:rPr>
    </w:lvl>
    <w:lvl w:ilvl="3" w:tplc="D86888C8">
      <w:start w:val="1"/>
      <w:numFmt w:val="decimal"/>
      <w:lvlText w:val="%4."/>
      <w:lvlJc w:val="left"/>
      <w:pPr>
        <w:ind w:left="2880" w:hanging="360"/>
      </w:pPr>
      <w:rPr>
        <w:rFonts w:cs="Times New Roman"/>
      </w:rPr>
    </w:lvl>
    <w:lvl w:ilvl="4" w:tplc="D7BE3194">
      <w:start w:val="1"/>
      <w:numFmt w:val="lowerLetter"/>
      <w:lvlText w:val="%5."/>
      <w:lvlJc w:val="left"/>
      <w:pPr>
        <w:ind w:left="3600" w:hanging="360"/>
      </w:pPr>
      <w:rPr>
        <w:rFonts w:cs="Times New Roman"/>
      </w:rPr>
    </w:lvl>
    <w:lvl w:ilvl="5" w:tplc="671284A0">
      <w:start w:val="1"/>
      <w:numFmt w:val="lowerRoman"/>
      <w:lvlText w:val="%6."/>
      <w:lvlJc w:val="right"/>
      <w:pPr>
        <w:ind w:left="4320" w:hanging="180"/>
      </w:pPr>
      <w:rPr>
        <w:rFonts w:cs="Times New Roman"/>
      </w:rPr>
    </w:lvl>
    <w:lvl w:ilvl="6" w:tplc="4ED4B3FC">
      <w:start w:val="1"/>
      <w:numFmt w:val="decimal"/>
      <w:lvlText w:val="%7."/>
      <w:lvlJc w:val="left"/>
      <w:pPr>
        <w:ind w:left="5040" w:hanging="360"/>
      </w:pPr>
      <w:rPr>
        <w:rFonts w:cs="Times New Roman"/>
      </w:rPr>
    </w:lvl>
    <w:lvl w:ilvl="7" w:tplc="6352DA6A">
      <w:start w:val="1"/>
      <w:numFmt w:val="lowerLetter"/>
      <w:lvlText w:val="%8."/>
      <w:lvlJc w:val="left"/>
      <w:pPr>
        <w:ind w:left="5760" w:hanging="360"/>
      </w:pPr>
      <w:rPr>
        <w:rFonts w:cs="Times New Roman"/>
      </w:rPr>
    </w:lvl>
    <w:lvl w:ilvl="8" w:tplc="C1C093DA">
      <w:start w:val="1"/>
      <w:numFmt w:val="lowerRoman"/>
      <w:lvlText w:val="%9."/>
      <w:lvlJc w:val="right"/>
      <w:pPr>
        <w:ind w:left="6480" w:hanging="180"/>
      </w:pPr>
      <w:rPr>
        <w:rFonts w:cs="Times New Roman"/>
      </w:rPr>
    </w:lvl>
  </w:abstractNum>
  <w:abstractNum w:abstractNumId="17" w15:restartNumberingAfterBreak="0">
    <w:nsid w:val="483F4F94"/>
    <w:multiLevelType w:val="hybridMultilevel"/>
    <w:tmpl w:val="60701856"/>
    <w:lvl w:ilvl="0" w:tplc="7F56767C">
      <w:start w:val="13"/>
      <w:numFmt w:val="decimal"/>
      <w:lvlText w:val="%1."/>
      <w:lvlJc w:val="left"/>
      <w:pPr>
        <w:ind w:left="360" w:hanging="360"/>
      </w:pPr>
      <w:rPr>
        <w:rFonts w:hint="default"/>
        <w:sz w:val="28"/>
      </w:rPr>
    </w:lvl>
    <w:lvl w:ilvl="1" w:tplc="E318C866" w:tentative="1">
      <w:start w:val="1"/>
      <w:numFmt w:val="lowerLetter"/>
      <w:lvlText w:val="%2."/>
      <w:lvlJc w:val="left"/>
      <w:pPr>
        <w:ind w:left="1080" w:hanging="360"/>
      </w:pPr>
    </w:lvl>
    <w:lvl w:ilvl="2" w:tplc="67D6F5C4" w:tentative="1">
      <w:start w:val="1"/>
      <w:numFmt w:val="lowerRoman"/>
      <w:lvlText w:val="%3."/>
      <w:lvlJc w:val="right"/>
      <w:pPr>
        <w:ind w:left="1800" w:hanging="180"/>
      </w:pPr>
    </w:lvl>
    <w:lvl w:ilvl="3" w:tplc="EA16CF0E" w:tentative="1">
      <w:start w:val="1"/>
      <w:numFmt w:val="decimal"/>
      <w:lvlText w:val="%4."/>
      <w:lvlJc w:val="left"/>
      <w:pPr>
        <w:ind w:left="2520" w:hanging="360"/>
      </w:pPr>
    </w:lvl>
    <w:lvl w:ilvl="4" w:tplc="FD289DE2" w:tentative="1">
      <w:start w:val="1"/>
      <w:numFmt w:val="lowerLetter"/>
      <w:lvlText w:val="%5."/>
      <w:lvlJc w:val="left"/>
      <w:pPr>
        <w:ind w:left="3240" w:hanging="360"/>
      </w:pPr>
    </w:lvl>
    <w:lvl w:ilvl="5" w:tplc="5B74FF54" w:tentative="1">
      <w:start w:val="1"/>
      <w:numFmt w:val="lowerRoman"/>
      <w:lvlText w:val="%6."/>
      <w:lvlJc w:val="right"/>
      <w:pPr>
        <w:ind w:left="3960" w:hanging="180"/>
      </w:pPr>
    </w:lvl>
    <w:lvl w:ilvl="6" w:tplc="016CDE00" w:tentative="1">
      <w:start w:val="1"/>
      <w:numFmt w:val="decimal"/>
      <w:lvlText w:val="%7."/>
      <w:lvlJc w:val="left"/>
      <w:pPr>
        <w:ind w:left="4680" w:hanging="360"/>
      </w:pPr>
    </w:lvl>
    <w:lvl w:ilvl="7" w:tplc="4E6CE4E4" w:tentative="1">
      <w:start w:val="1"/>
      <w:numFmt w:val="lowerLetter"/>
      <w:lvlText w:val="%8."/>
      <w:lvlJc w:val="left"/>
      <w:pPr>
        <w:ind w:left="5400" w:hanging="360"/>
      </w:pPr>
    </w:lvl>
    <w:lvl w:ilvl="8" w:tplc="89FAB578" w:tentative="1">
      <w:start w:val="1"/>
      <w:numFmt w:val="lowerRoman"/>
      <w:lvlText w:val="%9."/>
      <w:lvlJc w:val="right"/>
      <w:pPr>
        <w:ind w:left="6120" w:hanging="180"/>
      </w:pPr>
    </w:lvl>
  </w:abstractNum>
  <w:abstractNum w:abstractNumId="18" w15:restartNumberingAfterBreak="0">
    <w:nsid w:val="4CFD4730"/>
    <w:multiLevelType w:val="hybridMultilevel"/>
    <w:tmpl w:val="3C18E14C"/>
    <w:lvl w:ilvl="0" w:tplc="D9587DA4">
      <w:start w:val="8"/>
      <w:numFmt w:val="decimal"/>
      <w:lvlText w:val="%1."/>
      <w:lvlJc w:val="left"/>
      <w:pPr>
        <w:ind w:left="644" w:hanging="360"/>
      </w:pPr>
      <w:rPr>
        <w:rFonts w:hint="default"/>
        <w:sz w:val="28"/>
      </w:rPr>
    </w:lvl>
    <w:lvl w:ilvl="1" w:tplc="65DAF2A2" w:tentative="1">
      <w:start w:val="1"/>
      <w:numFmt w:val="lowerLetter"/>
      <w:lvlText w:val="%2."/>
      <w:lvlJc w:val="left"/>
      <w:pPr>
        <w:ind w:left="1364" w:hanging="360"/>
      </w:pPr>
    </w:lvl>
    <w:lvl w:ilvl="2" w:tplc="E78C9674" w:tentative="1">
      <w:start w:val="1"/>
      <w:numFmt w:val="lowerRoman"/>
      <w:lvlText w:val="%3."/>
      <w:lvlJc w:val="right"/>
      <w:pPr>
        <w:ind w:left="2084" w:hanging="180"/>
      </w:pPr>
    </w:lvl>
    <w:lvl w:ilvl="3" w:tplc="7430F492" w:tentative="1">
      <w:start w:val="1"/>
      <w:numFmt w:val="decimal"/>
      <w:lvlText w:val="%4."/>
      <w:lvlJc w:val="left"/>
      <w:pPr>
        <w:ind w:left="2804" w:hanging="360"/>
      </w:pPr>
    </w:lvl>
    <w:lvl w:ilvl="4" w:tplc="2708CFD2" w:tentative="1">
      <w:start w:val="1"/>
      <w:numFmt w:val="lowerLetter"/>
      <w:lvlText w:val="%5."/>
      <w:lvlJc w:val="left"/>
      <w:pPr>
        <w:ind w:left="3524" w:hanging="360"/>
      </w:pPr>
    </w:lvl>
    <w:lvl w:ilvl="5" w:tplc="42FE75DA" w:tentative="1">
      <w:start w:val="1"/>
      <w:numFmt w:val="lowerRoman"/>
      <w:lvlText w:val="%6."/>
      <w:lvlJc w:val="right"/>
      <w:pPr>
        <w:ind w:left="4244" w:hanging="180"/>
      </w:pPr>
    </w:lvl>
    <w:lvl w:ilvl="6" w:tplc="961AFA2A" w:tentative="1">
      <w:start w:val="1"/>
      <w:numFmt w:val="decimal"/>
      <w:lvlText w:val="%7."/>
      <w:lvlJc w:val="left"/>
      <w:pPr>
        <w:ind w:left="4964" w:hanging="360"/>
      </w:pPr>
    </w:lvl>
    <w:lvl w:ilvl="7" w:tplc="B270FC66" w:tentative="1">
      <w:start w:val="1"/>
      <w:numFmt w:val="lowerLetter"/>
      <w:lvlText w:val="%8."/>
      <w:lvlJc w:val="left"/>
      <w:pPr>
        <w:ind w:left="5684" w:hanging="360"/>
      </w:pPr>
    </w:lvl>
    <w:lvl w:ilvl="8" w:tplc="57747032" w:tentative="1">
      <w:start w:val="1"/>
      <w:numFmt w:val="lowerRoman"/>
      <w:lvlText w:val="%9."/>
      <w:lvlJc w:val="right"/>
      <w:pPr>
        <w:ind w:left="6404" w:hanging="180"/>
      </w:pPr>
    </w:lvl>
  </w:abstractNum>
  <w:abstractNum w:abstractNumId="19" w15:restartNumberingAfterBreak="0">
    <w:nsid w:val="4FE70B62"/>
    <w:multiLevelType w:val="hybridMultilevel"/>
    <w:tmpl w:val="ADA8711E"/>
    <w:lvl w:ilvl="0" w:tplc="A206503E">
      <w:start w:val="1"/>
      <w:numFmt w:val="hebrew1"/>
      <w:pStyle w:val="Ruller40"/>
      <w:lvlText w:val="%1."/>
      <w:lvlJc w:val="left"/>
      <w:pPr>
        <w:tabs>
          <w:tab w:val="num" w:pos="907"/>
        </w:tabs>
        <w:ind w:left="0" w:firstLine="0"/>
      </w:pPr>
      <w:rPr>
        <w:rFonts w:hint="default"/>
      </w:rPr>
    </w:lvl>
    <w:lvl w:ilvl="1" w:tplc="E6FAA146" w:tentative="1">
      <w:start w:val="1"/>
      <w:numFmt w:val="lowerLetter"/>
      <w:lvlText w:val="%2."/>
      <w:lvlJc w:val="left"/>
      <w:pPr>
        <w:tabs>
          <w:tab w:val="num" w:pos="1440"/>
        </w:tabs>
        <w:ind w:left="1440" w:hanging="360"/>
      </w:pPr>
    </w:lvl>
    <w:lvl w:ilvl="2" w:tplc="7DF224C2" w:tentative="1">
      <w:start w:val="1"/>
      <w:numFmt w:val="lowerRoman"/>
      <w:lvlText w:val="%3."/>
      <w:lvlJc w:val="right"/>
      <w:pPr>
        <w:tabs>
          <w:tab w:val="num" w:pos="2160"/>
        </w:tabs>
        <w:ind w:left="2160" w:hanging="180"/>
      </w:pPr>
    </w:lvl>
    <w:lvl w:ilvl="3" w:tplc="A90235EA" w:tentative="1">
      <w:start w:val="1"/>
      <w:numFmt w:val="decimal"/>
      <w:lvlText w:val="%4."/>
      <w:lvlJc w:val="left"/>
      <w:pPr>
        <w:tabs>
          <w:tab w:val="num" w:pos="2880"/>
        </w:tabs>
        <w:ind w:left="2880" w:hanging="360"/>
      </w:pPr>
    </w:lvl>
    <w:lvl w:ilvl="4" w:tplc="D08663C4" w:tentative="1">
      <w:start w:val="1"/>
      <w:numFmt w:val="lowerLetter"/>
      <w:lvlText w:val="%5."/>
      <w:lvlJc w:val="left"/>
      <w:pPr>
        <w:tabs>
          <w:tab w:val="num" w:pos="3600"/>
        </w:tabs>
        <w:ind w:left="3600" w:hanging="360"/>
      </w:pPr>
    </w:lvl>
    <w:lvl w:ilvl="5" w:tplc="B504DAF8" w:tentative="1">
      <w:start w:val="1"/>
      <w:numFmt w:val="lowerRoman"/>
      <w:lvlText w:val="%6."/>
      <w:lvlJc w:val="right"/>
      <w:pPr>
        <w:tabs>
          <w:tab w:val="num" w:pos="4320"/>
        </w:tabs>
        <w:ind w:left="4320" w:hanging="180"/>
      </w:pPr>
    </w:lvl>
    <w:lvl w:ilvl="6" w:tplc="1A885B3E" w:tentative="1">
      <w:start w:val="1"/>
      <w:numFmt w:val="decimal"/>
      <w:lvlText w:val="%7."/>
      <w:lvlJc w:val="left"/>
      <w:pPr>
        <w:tabs>
          <w:tab w:val="num" w:pos="5040"/>
        </w:tabs>
        <w:ind w:left="5040" w:hanging="360"/>
      </w:pPr>
    </w:lvl>
    <w:lvl w:ilvl="7" w:tplc="EA28A6E2" w:tentative="1">
      <w:start w:val="1"/>
      <w:numFmt w:val="lowerLetter"/>
      <w:lvlText w:val="%8."/>
      <w:lvlJc w:val="left"/>
      <w:pPr>
        <w:tabs>
          <w:tab w:val="num" w:pos="5760"/>
        </w:tabs>
        <w:ind w:left="5760" w:hanging="360"/>
      </w:pPr>
    </w:lvl>
    <w:lvl w:ilvl="8" w:tplc="B8CE64F0" w:tentative="1">
      <w:start w:val="1"/>
      <w:numFmt w:val="lowerRoman"/>
      <w:lvlText w:val="%9."/>
      <w:lvlJc w:val="right"/>
      <w:pPr>
        <w:tabs>
          <w:tab w:val="num" w:pos="6480"/>
        </w:tabs>
        <w:ind w:left="6480" w:hanging="180"/>
      </w:pPr>
    </w:lvl>
  </w:abstractNum>
  <w:abstractNum w:abstractNumId="20" w15:restartNumberingAfterBreak="0">
    <w:nsid w:val="58F327CA"/>
    <w:multiLevelType w:val="hybridMultilevel"/>
    <w:tmpl w:val="6EF2B3F0"/>
    <w:lvl w:ilvl="0" w:tplc="B0485BA8">
      <w:start w:val="1"/>
      <w:numFmt w:val="hebrew1"/>
      <w:lvlText w:val="(%1)"/>
      <w:lvlJc w:val="left"/>
      <w:pPr>
        <w:ind w:left="1920" w:hanging="360"/>
      </w:pPr>
      <w:rPr>
        <w:rFonts w:hint="default"/>
        <w:sz w:val="28"/>
      </w:rPr>
    </w:lvl>
    <w:lvl w:ilvl="1" w:tplc="C43E0B8E" w:tentative="1">
      <w:start w:val="1"/>
      <w:numFmt w:val="lowerLetter"/>
      <w:lvlText w:val="%2."/>
      <w:lvlJc w:val="left"/>
      <w:pPr>
        <w:ind w:left="2640" w:hanging="360"/>
      </w:pPr>
    </w:lvl>
    <w:lvl w:ilvl="2" w:tplc="8BC23A90" w:tentative="1">
      <w:start w:val="1"/>
      <w:numFmt w:val="lowerRoman"/>
      <w:lvlText w:val="%3."/>
      <w:lvlJc w:val="right"/>
      <w:pPr>
        <w:ind w:left="3360" w:hanging="180"/>
      </w:pPr>
    </w:lvl>
    <w:lvl w:ilvl="3" w:tplc="2F5C4624" w:tentative="1">
      <w:start w:val="1"/>
      <w:numFmt w:val="decimal"/>
      <w:lvlText w:val="%4."/>
      <w:lvlJc w:val="left"/>
      <w:pPr>
        <w:ind w:left="4080" w:hanging="360"/>
      </w:pPr>
    </w:lvl>
    <w:lvl w:ilvl="4" w:tplc="4746A048" w:tentative="1">
      <w:start w:val="1"/>
      <w:numFmt w:val="lowerLetter"/>
      <w:lvlText w:val="%5."/>
      <w:lvlJc w:val="left"/>
      <w:pPr>
        <w:ind w:left="4800" w:hanging="360"/>
      </w:pPr>
    </w:lvl>
    <w:lvl w:ilvl="5" w:tplc="5192C3B6" w:tentative="1">
      <w:start w:val="1"/>
      <w:numFmt w:val="lowerRoman"/>
      <w:lvlText w:val="%6."/>
      <w:lvlJc w:val="right"/>
      <w:pPr>
        <w:ind w:left="5520" w:hanging="180"/>
      </w:pPr>
    </w:lvl>
    <w:lvl w:ilvl="6" w:tplc="C27A49D4" w:tentative="1">
      <w:start w:val="1"/>
      <w:numFmt w:val="decimal"/>
      <w:lvlText w:val="%7."/>
      <w:lvlJc w:val="left"/>
      <w:pPr>
        <w:ind w:left="6240" w:hanging="360"/>
      </w:pPr>
    </w:lvl>
    <w:lvl w:ilvl="7" w:tplc="9D706462" w:tentative="1">
      <w:start w:val="1"/>
      <w:numFmt w:val="lowerLetter"/>
      <w:lvlText w:val="%8."/>
      <w:lvlJc w:val="left"/>
      <w:pPr>
        <w:ind w:left="6960" w:hanging="360"/>
      </w:pPr>
    </w:lvl>
    <w:lvl w:ilvl="8" w:tplc="8F94A824" w:tentative="1">
      <w:start w:val="1"/>
      <w:numFmt w:val="lowerRoman"/>
      <w:lvlText w:val="%9."/>
      <w:lvlJc w:val="right"/>
      <w:pPr>
        <w:ind w:left="7680" w:hanging="180"/>
      </w:pPr>
    </w:lvl>
  </w:abstractNum>
  <w:abstractNum w:abstractNumId="21" w15:restartNumberingAfterBreak="0">
    <w:nsid w:val="5AB10534"/>
    <w:multiLevelType w:val="hybridMultilevel"/>
    <w:tmpl w:val="711CC224"/>
    <w:lvl w:ilvl="0" w:tplc="F51020CC">
      <w:start w:val="1"/>
      <w:numFmt w:val="hebrew1"/>
      <w:lvlText w:val="(%1)"/>
      <w:lvlJc w:val="left"/>
      <w:pPr>
        <w:ind w:left="1004" w:hanging="360"/>
      </w:pPr>
      <w:rPr>
        <w:rFonts w:hint="default"/>
        <w:sz w:val="28"/>
      </w:rPr>
    </w:lvl>
    <w:lvl w:ilvl="1" w:tplc="B980FA10" w:tentative="1">
      <w:start w:val="1"/>
      <w:numFmt w:val="lowerLetter"/>
      <w:lvlText w:val="%2."/>
      <w:lvlJc w:val="left"/>
      <w:pPr>
        <w:ind w:left="1724" w:hanging="360"/>
      </w:pPr>
    </w:lvl>
    <w:lvl w:ilvl="2" w:tplc="046618A0" w:tentative="1">
      <w:start w:val="1"/>
      <w:numFmt w:val="lowerRoman"/>
      <w:lvlText w:val="%3."/>
      <w:lvlJc w:val="right"/>
      <w:pPr>
        <w:ind w:left="2444" w:hanging="180"/>
      </w:pPr>
    </w:lvl>
    <w:lvl w:ilvl="3" w:tplc="2D2688EE" w:tentative="1">
      <w:start w:val="1"/>
      <w:numFmt w:val="decimal"/>
      <w:lvlText w:val="%4."/>
      <w:lvlJc w:val="left"/>
      <w:pPr>
        <w:ind w:left="3164" w:hanging="360"/>
      </w:pPr>
    </w:lvl>
    <w:lvl w:ilvl="4" w:tplc="80500D32" w:tentative="1">
      <w:start w:val="1"/>
      <w:numFmt w:val="lowerLetter"/>
      <w:lvlText w:val="%5."/>
      <w:lvlJc w:val="left"/>
      <w:pPr>
        <w:ind w:left="3884" w:hanging="360"/>
      </w:pPr>
    </w:lvl>
    <w:lvl w:ilvl="5" w:tplc="72D004AA" w:tentative="1">
      <w:start w:val="1"/>
      <w:numFmt w:val="lowerRoman"/>
      <w:lvlText w:val="%6."/>
      <w:lvlJc w:val="right"/>
      <w:pPr>
        <w:ind w:left="4604" w:hanging="180"/>
      </w:pPr>
    </w:lvl>
    <w:lvl w:ilvl="6" w:tplc="53B84072" w:tentative="1">
      <w:start w:val="1"/>
      <w:numFmt w:val="decimal"/>
      <w:lvlText w:val="%7."/>
      <w:lvlJc w:val="left"/>
      <w:pPr>
        <w:ind w:left="5324" w:hanging="360"/>
      </w:pPr>
    </w:lvl>
    <w:lvl w:ilvl="7" w:tplc="CD12E3D6" w:tentative="1">
      <w:start w:val="1"/>
      <w:numFmt w:val="lowerLetter"/>
      <w:lvlText w:val="%8."/>
      <w:lvlJc w:val="left"/>
      <w:pPr>
        <w:ind w:left="6044" w:hanging="360"/>
      </w:pPr>
    </w:lvl>
    <w:lvl w:ilvl="8" w:tplc="43BCFF50" w:tentative="1">
      <w:start w:val="1"/>
      <w:numFmt w:val="lowerRoman"/>
      <w:lvlText w:val="%9."/>
      <w:lvlJc w:val="right"/>
      <w:pPr>
        <w:ind w:left="6764" w:hanging="180"/>
      </w:pPr>
    </w:lvl>
  </w:abstractNum>
  <w:abstractNum w:abstractNumId="22" w15:restartNumberingAfterBreak="0">
    <w:nsid w:val="61066C0F"/>
    <w:multiLevelType w:val="hybridMultilevel"/>
    <w:tmpl w:val="078E1788"/>
    <w:lvl w:ilvl="0" w:tplc="7BC833F8">
      <w:start w:val="94"/>
      <w:numFmt w:val="decimal"/>
      <w:lvlText w:val="%1."/>
      <w:lvlJc w:val="left"/>
      <w:pPr>
        <w:ind w:left="2628" w:hanging="360"/>
      </w:pPr>
      <w:rPr>
        <w:rFonts w:hint="default"/>
      </w:rPr>
    </w:lvl>
    <w:lvl w:ilvl="1" w:tplc="14E88944" w:tentative="1">
      <w:start w:val="1"/>
      <w:numFmt w:val="lowerLetter"/>
      <w:lvlText w:val="%2."/>
      <w:lvlJc w:val="left"/>
      <w:pPr>
        <w:ind w:left="1440" w:hanging="360"/>
      </w:pPr>
    </w:lvl>
    <w:lvl w:ilvl="2" w:tplc="9F3C3830" w:tentative="1">
      <w:start w:val="1"/>
      <w:numFmt w:val="lowerRoman"/>
      <w:lvlText w:val="%3."/>
      <w:lvlJc w:val="right"/>
      <w:pPr>
        <w:ind w:left="2160" w:hanging="180"/>
      </w:pPr>
    </w:lvl>
    <w:lvl w:ilvl="3" w:tplc="F45632E4" w:tentative="1">
      <w:start w:val="1"/>
      <w:numFmt w:val="decimal"/>
      <w:lvlText w:val="%4."/>
      <w:lvlJc w:val="left"/>
      <w:pPr>
        <w:ind w:left="2880" w:hanging="360"/>
      </w:pPr>
    </w:lvl>
    <w:lvl w:ilvl="4" w:tplc="B6708132" w:tentative="1">
      <w:start w:val="1"/>
      <w:numFmt w:val="lowerLetter"/>
      <w:lvlText w:val="%5."/>
      <w:lvlJc w:val="left"/>
      <w:pPr>
        <w:ind w:left="3600" w:hanging="360"/>
      </w:pPr>
    </w:lvl>
    <w:lvl w:ilvl="5" w:tplc="CD942116" w:tentative="1">
      <w:start w:val="1"/>
      <w:numFmt w:val="lowerRoman"/>
      <w:lvlText w:val="%6."/>
      <w:lvlJc w:val="right"/>
      <w:pPr>
        <w:ind w:left="4320" w:hanging="180"/>
      </w:pPr>
    </w:lvl>
    <w:lvl w:ilvl="6" w:tplc="B0868654" w:tentative="1">
      <w:start w:val="1"/>
      <w:numFmt w:val="decimal"/>
      <w:lvlText w:val="%7."/>
      <w:lvlJc w:val="left"/>
      <w:pPr>
        <w:ind w:left="5040" w:hanging="360"/>
      </w:pPr>
    </w:lvl>
    <w:lvl w:ilvl="7" w:tplc="A41E904E" w:tentative="1">
      <w:start w:val="1"/>
      <w:numFmt w:val="lowerLetter"/>
      <w:lvlText w:val="%8."/>
      <w:lvlJc w:val="left"/>
      <w:pPr>
        <w:ind w:left="5760" w:hanging="360"/>
      </w:pPr>
    </w:lvl>
    <w:lvl w:ilvl="8" w:tplc="97FE5204" w:tentative="1">
      <w:start w:val="1"/>
      <w:numFmt w:val="lowerRoman"/>
      <w:lvlText w:val="%9."/>
      <w:lvlJc w:val="right"/>
      <w:pPr>
        <w:ind w:left="6480" w:hanging="180"/>
      </w:pPr>
    </w:lvl>
  </w:abstractNum>
  <w:abstractNum w:abstractNumId="23" w15:restartNumberingAfterBreak="0">
    <w:nsid w:val="6E5F72D7"/>
    <w:multiLevelType w:val="hybridMultilevel"/>
    <w:tmpl w:val="AC2EFE00"/>
    <w:lvl w:ilvl="0" w:tplc="4356B2F2">
      <w:start w:val="87"/>
      <w:numFmt w:val="decimal"/>
      <w:lvlText w:val="%1."/>
      <w:lvlJc w:val="left"/>
      <w:pPr>
        <w:ind w:left="360" w:hanging="360"/>
      </w:pPr>
      <w:rPr>
        <w:rFonts w:hint="default"/>
      </w:rPr>
    </w:lvl>
    <w:lvl w:ilvl="1" w:tplc="7562CA3A" w:tentative="1">
      <w:start w:val="1"/>
      <w:numFmt w:val="lowerLetter"/>
      <w:lvlText w:val="%2."/>
      <w:lvlJc w:val="left"/>
      <w:pPr>
        <w:ind w:left="1440" w:hanging="360"/>
      </w:pPr>
    </w:lvl>
    <w:lvl w:ilvl="2" w:tplc="8CE48A6A" w:tentative="1">
      <w:start w:val="1"/>
      <w:numFmt w:val="lowerRoman"/>
      <w:lvlText w:val="%3."/>
      <w:lvlJc w:val="right"/>
      <w:pPr>
        <w:ind w:left="2160" w:hanging="180"/>
      </w:pPr>
    </w:lvl>
    <w:lvl w:ilvl="3" w:tplc="A942BE88" w:tentative="1">
      <w:start w:val="1"/>
      <w:numFmt w:val="decimal"/>
      <w:lvlText w:val="%4."/>
      <w:lvlJc w:val="left"/>
      <w:pPr>
        <w:ind w:left="2880" w:hanging="360"/>
      </w:pPr>
    </w:lvl>
    <w:lvl w:ilvl="4" w:tplc="F6C6D54C" w:tentative="1">
      <w:start w:val="1"/>
      <w:numFmt w:val="lowerLetter"/>
      <w:lvlText w:val="%5."/>
      <w:lvlJc w:val="left"/>
      <w:pPr>
        <w:ind w:left="3600" w:hanging="360"/>
      </w:pPr>
    </w:lvl>
    <w:lvl w:ilvl="5" w:tplc="49EC4618" w:tentative="1">
      <w:start w:val="1"/>
      <w:numFmt w:val="lowerRoman"/>
      <w:lvlText w:val="%6."/>
      <w:lvlJc w:val="right"/>
      <w:pPr>
        <w:ind w:left="4320" w:hanging="180"/>
      </w:pPr>
    </w:lvl>
    <w:lvl w:ilvl="6" w:tplc="9B0A4BE2" w:tentative="1">
      <w:start w:val="1"/>
      <w:numFmt w:val="decimal"/>
      <w:lvlText w:val="%7."/>
      <w:lvlJc w:val="left"/>
      <w:pPr>
        <w:ind w:left="5040" w:hanging="360"/>
      </w:pPr>
    </w:lvl>
    <w:lvl w:ilvl="7" w:tplc="8D687AF4" w:tentative="1">
      <w:start w:val="1"/>
      <w:numFmt w:val="lowerLetter"/>
      <w:lvlText w:val="%8."/>
      <w:lvlJc w:val="left"/>
      <w:pPr>
        <w:ind w:left="5760" w:hanging="360"/>
      </w:pPr>
    </w:lvl>
    <w:lvl w:ilvl="8" w:tplc="7BD4FA04" w:tentative="1">
      <w:start w:val="1"/>
      <w:numFmt w:val="lowerRoman"/>
      <w:lvlText w:val="%9."/>
      <w:lvlJc w:val="right"/>
      <w:pPr>
        <w:ind w:left="6480" w:hanging="180"/>
      </w:pPr>
    </w:lvl>
  </w:abstractNum>
  <w:abstractNum w:abstractNumId="24" w15:restartNumberingAfterBreak="0">
    <w:nsid w:val="71134238"/>
    <w:multiLevelType w:val="hybridMultilevel"/>
    <w:tmpl w:val="AF26B4FE"/>
    <w:lvl w:ilvl="0" w:tplc="8104E7A4">
      <w:start w:val="1"/>
      <w:numFmt w:val="decimal"/>
      <w:lvlText w:val="%1."/>
      <w:lvlJc w:val="left"/>
      <w:pPr>
        <w:ind w:left="720" w:hanging="360"/>
      </w:pPr>
      <w:rPr>
        <w:rFonts w:hint="default"/>
      </w:rPr>
    </w:lvl>
    <w:lvl w:ilvl="1" w:tplc="2B9C8152" w:tentative="1">
      <w:start w:val="1"/>
      <w:numFmt w:val="lowerLetter"/>
      <w:lvlText w:val="%2."/>
      <w:lvlJc w:val="left"/>
      <w:pPr>
        <w:ind w:left="1440" w:hanging="360"/>
      </w:pPr>
    </w:lvl>
    <w:lvl w:ilvl="2" w:tplc="CD04A5D2" w:tentative="1">
      <w:start w:val="1"/>
      <w:numFmt w:val="lowerRoman"/>
      <w:lvlText w:val="%3."/>
      <w:lvlJc w:val="right"/>
      <w:pPr>
        <w:ind w:left="2160" w:hanging="180"/>
      </w:pPr>
    </w:lvl>
    <w:lvl w:ilvl="3" w:tplc="F7FC494E" w:tentative="1">
      <w:start w:val="1"/>
      <w:numFmt w:val="decimal"/>
      <w:lvlText w:val="%4."/>
      <w:lvlJc w:val="left"/>
      <w:pPr>
        <w:ind w:left="2880" w:hanging="360"/>
      </w:pPr>
    </w:lvl>
    <w:lvl w:ilvl="4" w:tplc="86D049D8" w:tentative="1">
      <w:start w:val="1"/>
      <w:numFmt w:val="lowerLetter"/>
      <w:lvlText w:val="%5."/>
      <w:lvlJc w:val="left"/>
      <w:pPr>
        <w:ind w:left="3600" w:hanging="360"/>
      </w:pPr>
    </w:lvl>
    <w:lvl w:ilvl="5" w:tplc="5FE07DCE" w:tentative="1">
      <w:start w:val="1"/>
      <w:numFmt w:val="lowerRoman"/>
      <w:lvlText w:val="%6."/>
      <w:lvlJc w:val="right"/>
      <w:pPr>
        <w:ind w:left="4320" w:hanging="180"/>
      </w:pPr>
    </w:lvl>
    <w:lvl w:ilvl="6" w:tplc="EF3092D6" w:tentative="1">
      <w:start w:val="1"/>
      <w:numFmt w:val="decimal"/>
      <w:lvlText w:val="%7."/>
      <w:lvlJc w:val="left"/>
      <w:pPr>
        <w:ind w:left="5040" w:hanging="360"/>
      </w:pPr>
    </w:lvl>
    <w:lvl w:ilvl="7" w:tplc="7FC06C14" w:tentative="1">
      <w:start w:val="1"/>
      <w:numFmt w:val="lowerLetter"/>
      <w:lvlText w:val="%8."/>
      <w:lvlJc w:val="left"/>
      <w:pPr>
        <w:ind w:left="5760" w:hanging="360"/>
      </w:pPr>
    </w:lvl>
    <w:lvl w:ilvl="8" w:tplc="922081A6" w:tentative="1">
      <w:start w:val="1"/>
      <w:numFmt w:val="lowerRoman"/>
      <w:lvlText w:val="%9."/>
      <w:lvlJc w:val="right"/>
      <w:pPr>
        <w:ind w:left="6480" w:hanging="180"/>
      </w:pPr>
    </w:lvl>
  </w:abstractNum>
  <w:abstractNum w:abstractNumId="25" w15:restartNumberingAfterBreak="0">
    <w:nsid w:val="79A63247"/>
    <w:multiLevelType w:val="hybridMultilevel"/>
    <w:tmpl w:val="FE28F6D6"/>
    <w:lvl w:ilvl="0" w:tplc="927C2DDA">
      <w:start w:val="1"/>
      <w:numFmt w:val="decimal"/>
      <w:lvlText w:val="%1."/>
      <w:lvlJc w:val="left"/>
      <w:pPr>
        <w:ind w:left="502" w:hanging="360"/>
      </w:pPr>
      <w:rPr>
        <w:rFonts w:hint="default"/>
      </w:rPr>
    </w:lvl>
    <w:lvl w:ilvl="1" w:tplc="55F27ADA">
      <w:start w:val="1"/>
      <w:numFmt w:val="lowerLetter"/>
      <w:lvlText w:val="%2."/>
      <w:lvlJc w:val="left"/>
      <w:pPr>
        <w:ind w:left="1298" w:hanging="360"/>
      </w:pPr>
    </w:lvl>
    <w:lvl w:ilvl="2" w:tplc="879E5AAC" w:tentative="1">
      <w:start w:val="1"/>
      <w:numFmt w:val="lowerRoman"/>
      <w:lvlText w:val="%3."/>
      <w:lvlJc w:val="right"/>
      <w:pPr>
        <w:ind w:left="2018" w:hanging="180"/>
      </w:pPr>
    </w:lvl>
    <w:lvl w:ilvl="3" w:tplc="E90AAAA6" w:tentative="1">
      <w:start w:val="1"/>
      <w:numFmt w:val="decimal"/>
      <w:lvlText w:val="%4."/>
      <w:lvlJc w:val="left"/>
      <w:pPr>
        <w:ind w:left="2738" w:hanging="360"/>
      </w:pPr>
    </w:lvl>
    <w:lvl w:ilvl="4" w:tplc="1ED89CEC" w:tentative="1">
      <w:start w:val="1"/>
      <w:numFmt w:val="lowerLetter"/>
      <w:lvlText w:val="%5."/>
      <w:lvlJc w:val="left"/>
      <w:pPr>
        <w:ind w:left="3458" w:hanging="360"/>
      </w:pPr>
    </w:lvl>
    <w:lvl w:ilvl="5" w:tplc="7A9E92A2" w:tentative="1">
      <w:start w:val="1"/>
      <w:numFmt w:val="lowerRoman"/>
      <w:lvlText w:val="%6."/>
      <w:lvlJc w:val="right"/>
      <w:pPr>
        <w:ind w:left="4178" w:hanging="180"/>
      </w:pPr>
    </w:lvl>
    <w:lvl w:ilvl="6" w:tplc="F0BC06DA" w:tentative="1">
      <w:start w:val="1"/>
      <w:numFmt w:val="decimal"/>
      <w:lvlText w:val="%7."/>
      <w:lvlJc w:val="left"/>
      <w:pPr>
        <w:ind w:left="4898" w:hanging="360"/>
      </w:pPr>
    </w:lvl>
    <w:lvl w:ilvl="7" w:tplc="5D480678" w:tentative="1">
      <w:start w:val="1"/>
      <w:numFmt w:val="lowerLetter"/>
      <w:lvlText w:val="%8."/>
      <w:lvlJc w:val="left"/>
      <w:pPr>
        <w:ind w:left="5618" w:hanging="360"/>
      </w:pPr>
    </w:lvl>
    <w:lvl w:ilvl="8" w:tplc="A0F2EE24" w:tentative="1">
      <w:start w:val="1"/>
      <w:numFmt w:val="lowerRoman"/>
      <w:lvlText w:val="%9."/>
      <w:lvlJc w:val="right"/>
      <w:pPr>
        <w:ind w:left="6338"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3"/>
  </w:num>
  <w:num w:numId="12">
    <w:abstractNumId w:val="19"/>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0"/>
  </w:num>
  <w:num w:numId="17">
    <w:abstractNumId w:val="18"/>
  </w:num>
  <w:num w:numId="18">
    <w:abstractNumId w:val="17"/>
  </w:num>
  <w:num w:numId="19">
    <w:abstractNumId w:val="2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77"/>
    </w:lvlOverride>
  </w:num>
  <w:num w:numId="22">
    <w:abstractNumId w:val="13"/>
    <w:lvlOverride w:ilvl="0">
      <w:startOverride w:val="90"/>
    </w:lvlOverride>
  </w:num>
  <w:num w:numId="23">
    <w:abstractNumId w:val="13"/>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3"/>
  </w:num>
  <w:num w:numId="27">
    <w:abstractNumId w:val="22"/>
  </w:num>
  <w:num w:numId="28">
    <w:abstractNumId w:val="24"/>
  </w:num>
  <w:num w:numId="29">
    <w:abstractNumId w:val="10"/>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hdrShapeDefaults>
    <o:shapedefaults v:ext="edit" spidmax="214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43238"/>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2EB2"/>
    <w:rsid w:val="0043502B"/>
    <w:rsid w:val="004443AC"/>
    <w:rsid w:val="00444B02"/>
    <w:rsid w:val="00451E28"/>
    <w:rsid w:val="00462C62"/>
    <w:rsid w:val="00465D36"/>
    <w:rsid w:val="0047397E"/>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62816"/>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01FA"/>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A4AC8"/>
    <w:rsid w:val="00CC7622"/>
    <w:rsid w:val="00CD608F"/>
    <w:rsid w:val="00CE707C"/>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1B14"/>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401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link w:val="a6"/>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1"/>
    <w:rsid w:val="00C64423"/>
    <w:rPr>
      <w:rFonts w:cs="Times New Roman"/>
      <w:noProof w:val="0"/>
    </w:rPr>
  </w:style>
  <w:style w:type="character" w:styleId="a9">
    <w:name w:val="annotation reference"/>
    <w:basedOn w:val="a0"/>
    <w:rsid w:val="00C64423"/>
    <w:rPr>
      <w:sz w:val="16"/>
      <w:szCs w:val="16"/>
    </w:rPr>
  </w:style>
  <w:style w:type="paragraph" w:styleId="aa">
    <w:name w:val="Balloon Text"/>
    <w:basedOn w:val="a"/>
    <w:link w:val="ab"/>
    <w:rsid w:val="00C64423"/>
    <w:rPr>
      <w:rFonts w:ascii="Tahoma" w:hAnsi="Tahoma" w:cs="Tahoma"/>
      <w:sz w:val="16"/>
      <w:szCs w:val="16"/>
    </w:rPr>
  </w:style>
  <w:style w:type="table" w:styleId="ac">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0"/>
    <w:rsid w:val="00C64423"/>
  </w:style>
  <w:style w:type="character" w:styleId="ae">
    <w:name w:val="page number"/>
    <w:basedOn w:val="a0"/>
    <w:rsid w:val="00C64423"/>
  </w:style>
  <w:style w:type="table" w:customStyle="1" w:styleId="10">
    <w:name w:val="טבלת רשת1"/>
    <w:basedOn w:val="a1"/>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3230C7"/>
    <w:rPr>
      <w:color w:val="808080"/>
    </w:rPr>
  </w:style>
  <w:style w:type="paragraph" w:customStyle="1" w:styleId="Ruller3">
    <w:name w:val="Ruller 3"/>
    <w:basedOn w:val="a"/>
    <w:rsid w:val="0047397E"/>
    <w:pPr>
      <w:tabs>
        <w:tab w:val="left" w:pos="3210"/>
        <w:tab w:val="left" w:pos="6753"/>
      </w:tabs>
      <w:overflowPunct w:val="0"/>
      <w:autoSpaceDE w:val="0"/>
      <w:autoSpaceDN w:val="0"/>
      <w:adjustRightInd w:val="0"/>
      <w:spacing w:line="360" w:lineRule="auto"/>
      <w:textAlignment w:val="baseline"/>
    </w:pPr>
    <w:rPr>
      <w:rFonts w:cs="FrankRuehl"/>
      <w:noProof w:val="0"/>
      <w:spacing w:val="10"/>
      <w:sz w:val="22"/>
      <w:szCs w:val="28"/>
    </w:rPr>
  </w:style>
  <w:style w:type="paragraph" w:customStyle="1" w:styleId="Pskdinhead">
    <w:name w:val="Pskdin head"/>
    <w:basedOn w:val="a"/>
    <w:rsid w:val="0047397E"/>
    <w:pPr>
      <w:overflowPunct w:val="0"/>
      <w:autoSpaceDE w:val="0"/>
      <w:autoSpaceDN w:val="0"/>
      <w:adjustRightInd w:val="0"/>
      <w:spacing w:line="360" w:lineRule="auto"/>
      <w:textAlignment w:val="baseline"/>
    </w:pPr>
    <w:rPr>
      <w:b/>
      <w:bCs/>
      <w:noProof w:val="0"/>
      <w:sz w:val="20"/>
      <w:u w:val="single"/>
    </w:rPr>
  </w:style>
  <w:style w:type="paragraph" w:customStyle="1" w:styleId="FileNumber">
    <w:name w:val="File Number"/>
    <w:basedOn w:val="a"/>
    <w:rsid w:val="0047397E"/>
    <w:pPr>
      <w:overflowPunct w:val="0"/>
      <w:autoSpaceDE w:val="0"/>
      <w:autoSpaceDN w:val="0"/>
      <w:adjustRightInd w:val="0"/>
      <w:spacing w:line="360" w:lineRule="auto"/>
      <w:jc w:val="right"/>
      <w:textAlignment w:val="baseline"/>
    </w:pPr>
    <w:rPr>
      <w:bCs/>
      <w:noProof w:val="0"/>
      <w:sz w:val="20"/>
    </w:rPr>
  </w:style>
  <w:style w:type="paragraph" w:customStyle="1" w:styleId="FirstpagestylePsakdin">
    <w:name w:val="First page style Psak din"/>
    <w:basedOn w:val="Ruller3"/>
    <w:rsid w:val="0047397E"/>
    <w:pPr>
      <w:tabs>
        <w:tab w:val="clear" w:pos="3210"/>
        <w:tab w:val="left" w:pos="3209"/>
      </w:tabs>
    </w:pPr>
    <w:rPr>
      <w:bCs/>
    </w:rPr>
  </w:style>
  <w:style w:type="paragraph" w:customStyle="1" w:styleId="TyutaDate">
    <w:name w:val="Tyuta Date"/>
    <w:basedOn w:val="a"/>
    <w:rsid w:val="0047397E"/>
    <w:pPr>
      <w:overflowPunct w:val="0"/>
      <w:autoSpaceDE w:val="0"/>
      <w:autoSpaceDN w:val="0"/>
      <w:adjustRightInd w:val="0"/>
      <w:jc w:val="center"/>
      <w:textAlignment w:val="baseline"/>
    </w:pPr>
    <w:rPr>
      <w:b/>
      <w:bCs/>
      <w:i/>
      <w:iCs/>
      <w:noProof w:val="0"/>
      <w:sz w:val="28"/>
      <w:szCs w:val="28"/>
    </w:rPr>
  </w:style>
  <w:style w:type="paragraph" w:customStyle="1" w:styleId="DocumentHead">
    <w:name w:val="Document Head"/>
    <w:basedOn w:val="a"/>
    <w:rsid w:val="0047397E"/>
    <w:pPr>
      <w:overflowPunct w:val="0"/>
      <w:autoSpaceDE w:val="0"/>
      <w:autoSpaceDN w:val="0"/>
      <w:adjustRightInd w:val="0"/>
      <w:spacing w:line="360" w:lineRule="auto"/>
      <w:jc w:val="center"/>
      <w:textAlignment w:val="baseline"/>
    </w:pPr>
    <w:rPr>
      <w:bCs/>
      <w:noProof w:val="0"/>
      <w:spacing w:val="30"/>
      <w:sz w:val="20"/>
      <w:szCs w:val="28"/>
      <w:u w:val="single"/>
    </w:rPr>
  </w:style>
  <w:style w:type="paragraph" w:customStyle="1" w:styleId="TfutzaList">
    <w:name w:val="Tfutza List"/>
    <w:basedOn w:val="a"/>
    <w:rsid w:val="0047397E"/>
    <w:pPr>
      <w:overflowPunct w:val="0"/>
      <w:autoSpaceDE w:val="0"/>
      <w:autoSpaceDN w:val="0"/>
      <w:adjustRightInd w:val="0"/>
      <w:textAlignment w:val="baseline"/>
    </w:pPr>
    <w:rPr>
      <w:i/>
      <w:iCs/>
      <w:noProof w:val="0"/>
      <w:sz w:val="20"/>
    </w:rPr>
  </w:style>
  <w:style w:type="paragraph" w:customStyle="1" w:styleId="Ruller41">
    <w:name w:val="Ruller4"/>
    <w:basedOn w:val="a"/>
    <w:link w:val="Ruller42"/>
    <w:rsid w:val="0047397E"/>
    <w:pPr>
      <w:tabs>
        <w:tab w:val="left" w:pos="800"/>
      </w:tabs>
      <w:overflowPunct w:val="0"/>
      <w:autoSpaceDE w:val="0"/>
      <w:autoSpaceDN w:val="0"/>
      <w:adjustRightInd w:val="0"/>
      <w:spacing w:line="360" w:lineRule="auto"/>
      <w:jc w:val="both"/>
      <w:textAlignment w:val="baseline"/>
    </w:pPr>
    <w:rPr>
      <w:rFonts w:ascii="Arial TUR" w:hAnsi="Arial TUR" w:cs="FrankRuehl"/>
      <w:noProof w:val="0"/>
      <w:spacing w:val="10"/>
      <w:sz w:val="22"/>
      <w:szCs w:val="28"/>
    </w:rPr>
  </w:style>
  <w:style w:type="paragraph" w:customStyle="1" w:styleId="Ruller5">
    <w:name w:val="Ruller5"/>
    <w:basedOn w:val="a"/>
    <w:rsid w:val="0047397E"/>
    <w:pPr>
      <w:overflowPunct w:val="0"/>
      <w:autoSpaceDE w:val="0"/>
      <w:autoSpaceDN w:val="0"/>
      <w:adjustRightInd w:val="0"/>
      <w:ind w:left="1642" w:right="1282"/>
      <w:jc w:val="both"/>
      <w:textAlignment w:val="baseline"/>
    </w:pPr>
    <w:rPr>
      <w:rFonts w:ascii="Arial TUR" w:hAnsi="Arial TUR" w:cs="FrankRuehl"/>
      <w:noProof w:val="0"/>
      <w:spacing w:val="10"/>
      <w:sz w:val="22"/>
      <w:szCs w:val="28"/>
    </w:rPr>
  </w:style>
  <w:style w:type="paragraph" w:customStyle="1" w:styleId="Ruller6">
    <w:name w:val="Ruller6"/>
    <w:basedOn w:val="a"/>
    <w:rsid w:val="0047397E"/>
    <w:pPr>
      <w:tabs>
        <w:tab w:val="left" w:pos="794"/>
        <w:tab w:val="left" w:pos="2268"/>
        <w:tab w:val="left" w:pos="5783"/>
        <w:tab w:val="left" w:pos="7371"/>
      </w:tabs>
      <w:overflowPunct w:val="0"/>
      <w:autoSpaceDE w:val="0"/>
      <w:autoSpaceDN w:val="0"/>
      <w:adjustRightInd w:val="0"/>
      <w:textAlignment w:val="baseline"/>
    </w:pPr>
    <w:rPr>
      <w:rFonts w:ascii="Arial TUR" w:hAnsi="Arial TUR" w:cs="DavidFix"/>
      <w:noProof w:val="0"/>
      <w:spacing w:val="10"/>
      <w:sz w:val="22"/>
      <w:szCs w:val="20"/>
    </w:rPr>
  </w:style>
  <w:style w:type="character" w:customStyle="1" w:styleId="Delete">
    <w:name w:val="Delete"/>
    <w:rsid w:val="0047397E"/>
    <w:rPr>
      <w:strike/>
    </w:rPr>
  </w:style>
  <w:style w:type="paragraph" w:customStyle="1" w:styleId="WriterName">
    <w:name w:val="Writer Name"/>
    <w:basedOn w:val="Ruller41"/>
    <w:next w:val="Ruller41"/>
    <w:rsid w:val="0047397E"/>
    <w:rPr>
      <w:rFonts w:cs="David"/>
      <w:b/>
      <w:bCs/>
      <w:u w:val="single"/>
    </w:rPr>
  </w:style>
  <w:style w:type="character" w:customStyle="1" w:styleId="Hand">
    <w:name w:val="Hand"/>
    <w:rsid w:val="0047397E"/>
    <w:rPr>
      <w:rFonts w:cs="Guttman Yad"/>
    </w:rPr>
  </w:style>
  <w:style w:type="paragraph" w:customStyle="1" w:styleId="2">
    <w:name w:val="ñâðåï2"/>
    <w:basedOn w:val="a"/>
    <w:rsid w:val="0047397E"/>
    <w:pPr>
      <w:autoSpaceDE w:val="0"/>
      <w:autoSpaceDN w:val="0"/>
      <w:adjustRightInd w:val="0"/>
    </w:pPr>
    <w:rPr>
      <w:rFonts w:cs="Times New Roman"/>
      <w:noProof w:val="0"/>
      <w:sz w:val="20"/>
    </w:rPr>
  </w:style>
  <w:style w:type="paragraph" w:customStyle="1" w:styleId="Casenameintextbody">
    <w:name w:val="Case name in text body"/>
    <w:basedOn w:val="a"/>
    <w:rsid w:val="0047397E"/>
    <w:pPr>
      <w:autoSpaceDE w:val="0"/>
      <w:autoSpaceDN w:val="0"/>
      <w:adjustRightInd w:val="0"/>
      <w:jc w:val="right"/>
    </w:pPr>
    <w:rPr>
      <w:rFonts w:cs="Times New Roman"/>
      <w:b/>
      <w:bCs/>
      <w:noProof w:val="0"/>
      <w:sz w:val="20"/>
      <w:u w:val="single"/>
    </w:rPr>
  </w:style>
  <w:style w:type="paragraph" w:customStyle="1" w:styleId="precasestyle">
    <w:name w:val="pre_case style"/>
    <w:basedOn w:val="a"/>
    <w:rsid w:val="0047397E"/>
    <w:pPr>
      <w:tabs>
        <w:tab w:val="left" w:pos="2552"/>
      </w:tabs>
      <w:autoSpaceDE w:val="0"/>
      <w:autoSpaceDN w:val="0"/>
      <w:adjustRightInd w:val="0"/>
      <w:ind w:right="2549"/>
    </w:pPr>
    <w:rPr>
      <w:rFonts w:cs="Times New Roman"/>
      <w:noProof w:val="0"/>
      <w:sz w:val="20"/>
    </w:rPr>
  </w:style>
  <w:style w:type="paragraph" w:customStyle="1" w:styleId="BodyRuller">
    <w:name w:val="Body Ruller"/>
    <w:basedOn w:val="a"/>
    <w:rsid w:val="0047397E"/>
    <w:pPr>
      <w:overflowPunct w:val="0"/>
      <w:autoSpaceDE w:val="0"/>
      <w:autoSpaceDN w:val="0"/>
      <w:adjustRightInd w:val="0"/>
      <w:textAlignment w:val="baseline"/>
    </w:pPr>
    <w:rPr>
      <w:noProof w:val="0"/>
      <w:sz w:val="22"/>
      <w:szCs w:val="28"/>
    </w:rPr>
  </w:style>
  <w:style w:type="paragraph" w:customStyle="1" w:styleId="Ruller38">
    <w:name w:val="סגנון Ruller 3 + (מורכב) ‏8 נק"/>
    <w:basedOn w:val="BodyRuller"/>
    <w:rsid w:val="0047397E"/>
    <w:rPr>
      <w:szCs w:val="16"/>
    </w:rPr>
  </w:style>
  <w:style w:type="character" w:customStyle="1" w:styleId="Ruller30">
    <w:name w:val="Ruller 3 תו"/>
    <w:rsid w:val="0047397E"/>
    <w:rPr>
      <w:rFonts w:cs="FrankRuehl"/>
      <w:sz w:val="22"/>
      <w:szCs w:val="28"/>
      <w:lang w:val="en-US" w:eastAsia="en-US" w:bidi="he-IL"/>
    </w:rPr>
  </w:style>
  <w:style w:type="character" w:customStyle="1" w:styleId="BodyRuller0">
    <w:name w:val="Body Ruller תו"/>
    <w:rsid w:val="0047397E"/>
    <w:rPr>
      <w:rFonts w:cs="David"/>
      <w:sz w:val="22"/>
      <w:szCs w:val="28"/>
      <w:lang w:val="en-US" w:eastAsia="en-US" w:bidi="he-IL"/>
    </w:rPr>
  </w:style>
  <w:style w:type="character" w:customStyle="1" w:styleId="Ruller380">
    <w:name w:val="סגנון Ruller 3 + (מורכב) ‏8 נק תו"/>
    <w:rsid w:val="0047397E"/>
    <w:rPr>
      <w:rFonts w:cs="David"/>
      <w:sz w:val="22"/>
      <w:szCs w:val="16"/>
      <w:lang w:val="en-US" w:eastAsia="en-US" w:bidi="he-IL"/>
    </w:rPr>
  </w:style>
  <w:style w:type="paragraph" w:customStyle="1" w:styleId="FileNumber0">
    <w:name w:val="סגנון File Number + ימין"/>
    <w:basedOn w:val="FileNumber"/>
    <w:rsid w:val="0047397E"/>
    <w:pPr>
      <w:jc w:val="left"/>
    </w:pPr>
    <w:rPr>
      <w:szCs w:val="28"/>
    </w:rPr>
  </w:style>
  <w:style w:type="paragraph" w:customStyle="1" w:styleId="BODYVERDICT">
    <w:name w:val="BODY VERDICT"/>
    <w:basedOn w:val="a"/>
    <w:rsid w:val="0047397E"/>
    <w:pPr>
      <w:overflowPunct w:val="0"/>
      <w:autoSpaceDE w:val="0"/>
      <w:autoSpaceDN w:val="0"/>
      <w:adjustRightInd w:val="0"/>
      <w:textAlignment w:val="baseline"/>
    </w:pPr>
    <w:rPr>
      <w:rFonts w:cs="FrankRuehl"/>
      <w:noProof w:val="0"/>
      <w:spacing w:val="10"/>
      <w:sz w:val="22"/>
      <w:szCs w:val="28"/>
    </w:rPr>
  </w:style>
  <w:style w:type="character" w:styleId="Hyperlink">
    <w:name w:val="Hyperlink"/>
    <w:rsid w:val="0047397E"/>
    <w:rPr>
      <w:color w:val="0000FF"/>
      <w:u w:val="single"/>
    </w:rPr>
  </w:style>
  <w:style w:type="character" w:styleId="FollowedHyperlink">
    <w:name w:val="FollowedHyperlink"/>
    <w:basedOn w:val="a0"/>
    <w:rsid w:val="0047397E"/>
    <w:rPr>
      <w:color w:val="800080" w:themeColor="followedHyperlink"/>
      <w:u w:val="single"/>
    </w:rPr>
  </w:style>
  <w:style w:type="character" w:customStyle="1" w:styleId="af0">
    <w:name w:val="טקסט הערה תו"/>
    <w:basedOn w:val="a0"/>
    <w:rsid w:val="0047397E"/>
    <w:rPr>
      <w:rFonts w:cs="David"/>
    </w:rPr>
  </w:style>
  <w:style w:type="paragraph" w:styleId="af1">
    <w:name w:val="annotation subject"/>
    <w:basedOn w:val="a8"/>
    <w:next w:val="a8"/>
    <w:link w:val="af2"/>
    <w:rsid w:val="0047397E"/>
    <w:pPr>
      <w:overflowPunct w:val="0"/>
      <w:autoSpaceDE w:val="0"/>
      <w:autoSpaceDN w:val="0"/>
      <w:adjustRightInd w:val="0"/>
      <w:textAlignment w:val="baseline"/>
    </w:pPr>
    <w:rPr>
      <w:rFonts w:cs="David"/>
      <w:b/>
      <w:bCs/>
      <w:sz w:val="20"/>
      <w:szCs w:val="20"/>
    </w:rPr>
  </w:style>
  <w:style w:type="character" w:customStyle="1" w:styleId="1">
    <w:name w:val="טקסט הערה תו1"/>
    <w:basedOn w:val="a0"/>
    <w:link w:val="a8"/>
    <w:rsid w:val="0047397E"/>
    <w:rPr>
      <w:sz w:val="24"/>
      <w:szCs w:val="24"/>
    </w:rPr>
  </w:style>
  <w:style w:type="character" w:customStyle="1" w:styleId="af2">
    <w:name w:val="נושא הערה תו"/>
    <w:basedOn w:val="1"/>
    <w:link w:val="af1"/>
    <w:rsid w:val="0047397E"/>
    <w:rPr>
      <w:rFonts w:cs="David"/>
      <w:b/>
      <w:bCs/>
      <w:sz w:val="24"/>
      <w:szCs w:val="24"/>
    </w:rPr>
  </w:style>
  <w:style w:type="character" w:customStyle="1" w:styleId="ab">
    <w:name w:val="טקסט בלונים תו"/>
    <w:basedOn w:val="a0"/>
    <w:link w:val="aa"/>
    <w:rsid w:val="0047397E"/>
    <w:rPr>
      <w:rFonts w:ascii="Tahoma" w:hAnsi="Tahoma" w:cs="Tahoma"/>
      <w:noProof/>
      <w:sz w:val="16"/>
      <w:szCs w:val="16"/>
    </w:rPr>
  </w:style>
  <w:style w:type="character" w:customStyle="1" w:styleId="a6">
    <w:name w:val="כותרת תחתונה תו"/>
    <w:basedOn w:val="a0"/>
    <w:link w:val="a5"/>
    <w:rsid w:val="0047397E"/>
    <w:rPr>
      <w:rFonts w:cs="David"/>
      <w:noProof/>
      <w:sz w:val="24"/>
      <w:szCs w:val="24"/>
    </w:rPr>
  </w:style>
  <w:style w:type="character" w:customStyle="1" w:styleId="a4">
    <w:name w:val="כותרת עליונה תו"/>
    <w:basedOn w:val="a0"/>
    <w:link w:val="a3"/>
    <w:rsid w:val="0047397E"/>
    <w:rPr>
      <w:rFonts w:cs="David"/>
      <w:noProof/>
      <w:sz w:val="24"/>
      <w:szCs w:val="24"/>
    </w:rPr>
  </w:style>
  <w:style w:type="paragraph" w:customStyle="1" w:styleId="Ruller4">
    <w:name w:val="Ruller 4 ממוספר"/>
    <w:basedOn w:val="Ruller41"/>
    <w:next w:val="Ruller41"/>
    <w:rsid w:val="0047397E"/>
    <w:pPr>
      <w:numPr>
        <w:numId w:val="11"/>
      </w:numPr>
    </w:pPr>
    <w:rPr>
      <w:rFonts w:ascii="Garamond" w:hAnsi="Garamond"/>
      <w:sz w:val="24"/>
    </w:rPr>
  </w:style>
  <w:style w:type="paragraph" w:customStyle="1" w:styleId="Ruller40">
    <w:name w:val="Ruller4 אלפביתי"/>
    <w:basedOn w:val="Ruller41"/>
    <w:next w:val="Ruller41"/>
    <w:rsid w:val="0047397E"/>
    <w:pPr>
      <w:numPr>
        <w:numId w:val="12"/>
      </w:numPr>
    </w:pPr>
  </w:style>
  <w:style w:type="character" w:customStyle="1" w:styleId="Ruller42">
    <w:name w:val="Ruller4 תו"/>
    <w:link w:val="Ruller41"/>
    <w:locked/>
    <w:rsid w:val="0047397E"/>
    <w:rPr>
      <w:rFonts w:ascii="Arial TUR" w:hAnsi="Arial TUR" w:cs="FrankRuehl"/>
      <w:spacing w:val="10"/>
      <w:sz w:val="22"/>
      <w:szCs w:val="28"/>
    </w:rPr>
  </w:style>
  <w:style w:type="paragraph" w:customStyle="1" w:styleId="ruller43">
    <w:name w:val="ruller4"/>
    <w:basedOn w:val="a"/>
    <w:rsid w:val="0047397E"/>
    <w:pPr>
      <w:overflowPunct w:val="0"/>
      <w:autoSpaceDE w:val="0"/>
      <w:autoSpaceDN w:val="0"/>
      <w:spacing w:line="360" w:lineRule="auto"/>
      <w:jc w:val="both"/>
    </w:pPr>
    <w:rPr>
      <w:rFonts w:ascii="Arial TUR" w:hAnsi="Arial TUR" w:cs="Arial TUR"/>
      <w:noProof w:val="0"/>
      <w:spacing w:val="10"/>
      <w:sz w:val="22"/>
      <w:szCs w:val="22"/>
      <w:lang w:eastAsia="he-IL"/>
    </w:rPr>
  </w:style>
  <w:style w:type="paragraph" w:customStyle="1" w:styleId="11">
    <w:name w:val="פיסקת רשימה1"/>
    <w:basedOn w:val="a"/>
    <w:qFormat/>
    <w:rsid w:val="0047397E"/>
    <w:pPr>
      <w:spacing w:after="160" w:line="254" w:lineRule="auto"/>
      <w:ind w:left="720"/>
      <w:contextualSpacing/>
    </w:pPr>
    <w:rPr>
      <w:rFonts w:ascii="Calibri" w:eastAsia="Calibri" w:hAnsi="Calibri" w:cs="Arial"/>
      <w:noProof w:val="0"/>
      <w:sz w:val="22"/>
      <w:szCs w:val="22"/>
    </w:rPr>
  </w:style>
  <w:style w:type="character" w:customStyle="1" w:styleId="default">
    <w:name w:val="default"/>
    <w:rsid w:val="0047397E"/>
    <w:rPr>
      <w:rFonts w:ascii="Times New Roman" w:hAnsi="Times New Roman" w:cs="Times New Roman"/>
      <w:sz w:val="26"/>
      <w:szCs w:val="26"/>
    </w:rPr>
  </w:style>
  <w:style w:type="paragraph" w:styleId="af3">
    <w:name w:val="footnote text"/>
    <w:basedOn w:val="a"/>
    <w:link w:val="af4"/>
    <w:unhideWhenUsed/>
    <w:rsid w:val="0047397E"/>
    <w:pPr>
      <w:overflowPunct w:val="0"/>
      <w:autoSpaceDE w:val="0"/>
      <w:autoSpaceDN w:val="0"/>
      <w:adjustRightInd w:val="0"/>
      <w:spacing w:line="360" w:lineRule="auto"/>
      <w:textAlignment w:val="baseline"/>
    </w:pPr>
    <w:rPr>
      <w:rFonts w:ascii="Century" w:hAnsi="Century" w:cs="FrankRuehl"/>
      <w:noProof w:val="0"/>
      <w:spacing w:val="10"/>
      <w:sz w:val="20"/>
      <w:szCs w:val="20"/>
    </w:rPr>
  </w:style>
  <w:style w:type="character" w:customStyle="1" w:styleId="af4">
    <w:name w:val="טקסט הערת שוליים תו"/>
    <w:basedOn w:val="a0"/>
    <w:link w:val="af3"/>
    <w:rsid w:val="0047397E"/>
    <w:rPr>
      <w:rFonts w:ascii="Century" w:hAnsi="Century" w:cs="FrankRuehl"/>
      <w:spacing w:val="10"/>
    </w:rPr>
  </w:style>
  <w:style w:type="character" w:styleId="af5">
    <w:name w:val="footnote reference"/>
    <w:unhideWhenUsed/>
    <w:rsid w:val="0047397E"/>
    <w:rPr>
      <w:vertAlign w:val="superscript"/>
    </w:rPr>
  </w:style>
  <w:style w:type="paragraph" w:styleId="af6">
    <w:name w:val="Revision"/>
    <w:hidden/>
    <w:uiPriority w:val="99"/>
    <w:semiHidden/>
    <w:rsid w:val="0047397E"/>
    <w:rPr>
      <w:rFonts w:ascii="Century" w:hAnsi="Century" w:cs="FrankRuehl"/>
      <w:spacing w:val="10"/>
      <w:szCs w:val="28"/>
    </w:rPr>
  </w:style>
  <w:style w:type="paragraph" w:styleId="af7">
    <w:name w:val="List Paragraph"/>
    <w:basedOn w:val="a"/>
    <w:uiPriority w:val="34"/>
    <w:qFormat/>
    <w:rsid w:val="0047397E"/>
    <w:pPr>
      <w:overflowPunct w:val="0"/>
      <w:autoSpaceDE w:val="0"/>
      <w:autoSpaceDN w:val="0"/>
      <w:adjustRightInd w:val="0"/>
      <w:ind w:left="720"/>
      <w:contextualSpacing/>
      <w:textAlignment w:val="baseline"/>
    </w:pPr>
    <w:rPr>
      <w:noProof w:val="0"/>
      <w:sz w:val="20"/>
    </w:rPr>
  </w:style>
  <w:style w:type="paragraph" w:customStyle="1" w:styleId="20">
    <w:name w:val="פיסקת רשימה2"/>
    <w:basedOn w:val="a"/>
    <w:qFormat/>
    <w:rsid w:val="0047397E"/>
    <w:pPr>
      <w:overflowPunct w:val="0"/>
      <w:autoSpaceDE w:val="0"/>
      <w:autoSpaceDN w:val="0"/>
      <w:adjustRightInd w:val="0"/>
      <w:ind w:left="720"/>
    </w:pPr>
    <w:rPr>
      <w:noProof w:val="0"/>
      <w:sz w:val="20"/>
    </w:rPr>
  </w:style>
  <w:style w:type="character" w:customStyle="1" w:styleId="ssbf">
    <w:name w:val="ss_bf"/>
    <w:rsid w:val="00473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0301/40i.a.3.;40.i.a.4"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case/5701910"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D0DB6" w:rsidP="00DD0DB6">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DD0DB6"/>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D0DB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DD0DB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11928</Words>
  <Characters>59641</Characters>
  <Application>Microsoft Office Word</Application>
  <DocSecurity>0</DocSecurity>
  <Lines>497</Lines>
  <Paragraphs>142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מרים אילני</cp:lastModifiedBy>
  <cp:revision>2</cp:revision>
  <dcterms:created xsi:type="dcterms:W3CDTF">2024-05-05T07:16:00Z</dcterms:created>
  <dcterms:modified xsi:type="dcterms:W3CDTF">2024-05-05T07:16:00Z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